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Times New Roman" w:hAnsi="Times New Roman" w:eastAsia="宋体" w:cs="Times New Roman"/>
        </w:rPr>
        <w:id w:val="147456083"/>
        <w:docPartObj>
          <w:docPartGallery w:val="Table of Contents"/>
          <w:docPartUnique/>
        </w:docPartObj>
      </w:sdtPr>
      <w:sdtEndPr>
        <w:rPr>
          <w:rFonts w:hint="eastAsia" w:ascii="Times New Roman" w:hAnsi="Times New Roman" w:eastAsia="宋体" w:cs="Times New Roman"/>
          <w:bCs/>
          <w:sz w:val="28"/>
          <w:szCs w:val="28"/>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17"/>
            <w:tabs>
              <w:tab w:val="right" w:leader="dot" w:pos="8306"/>
            </w:tabs>
          </w:pPr>
          <w:r>
            <w:rPr>
              <w:rFonts w:ascii="Times New Roman" w:hAnsi="Times New Roman" w:eastAsia="宋体" w:cs="Times New Roman"/>
              <w:b/>
              <w:bCs/>
              <w:sz w:val="24"/>
            </w:rPr>
            <w:fldChar w:fldCharType="begin"/>
          </w:r>
          <w:r>
            <w:rPr>
              <w:rFonts w:ascii="Times New Roman" w:hAnsi="Times New Roman" w:eastAsia="宋体" w:cs="Times New Roman"/>
              <w:b/>
              <w:bCs/>
              <w:sz w:val="24"/>
            </w:rPr>
            <w:instrText xml:space="preserve">TOC \o "1-3" \h \u </w:instrText>
          </w:r>
          <w:r>
            <w:rPr>
              <w:rFonts w:ascii="Times New Roman" w:hAnsi="Times New Roman" w:eastAsia="宋体" w:cs="Times New Roman"/>
              <w:b/>
              <w:bCs/>
              <w:sz w:val="24"/>
            </w:rPr>
            <w:fldChar w:fldCharType="separate"/>
          </w: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_Toc8939 </w:instrText>
          </w:r>
          <w:r>
            <w:rPr>
              <w:rFonts w:ascii="Times New Roman" w:hAnsi="Times New Roman" w:eastAsia="宋体" w:cs="Times New Roman"/>
              <w:bCs/>
            </w:rPr>
            <w:fldChar w:fldCharType="separate"/>
          </w:r>
          <w:r>
            <w:rPr>
              <w:rFonts w:ascii="Times New Roman" w:hAnsi="Times New Roman" w:eastAsia="宋体"/>
              <w:bCs/>
            </w:rPr>
            <w:t xml:space="preserve">1. </w:t>
          </w:r>
          <w:r>
            <w:rPr>
              <w:rFonts w:hint="eastAsia" w:ascii="Times New Roman" w:hAnsi="Times New Roman" w:eastAsia="宋体"/>
              <w:bCs/>
            </w:rPr>
            <w:t>项目概况</w:t>
          </w:r>
          <w:r>
            <w:tab/>
          </w:r>
          <w:r>
            <w:fldChar w:fldCharType="begin"/>
          </w:r>
          <w:r>
            <w:instrText xml:space="preserve"> PAGEREF _Toc8939 </w:instrText>
          </w:r>
          <w:r>
            <w:fldChar w:fldCharType="separate"/>
          </w:r>
          <w:r>
            <w:t>1</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_Toc14 </w:instrText>
          </w:r>
          <w:r>
            <w:rPr>
              <w:rFonts w:ascii="Times New Roman" w:hAnsi="Times New Roman" w:eastAsia="宋体" w:cs="Times New Roman"/>
              <w:bCs/>
            </w:rPr>
            <w:fldChar w:fldCharType="separate"/>
          </w:r>
          <w:r>
            <w:rPr>
              <w:rFonts w:ascii="Times New Roman" w:hAnsi="Times New Roman" w:eastAsia="宋体" w:cs="Times New Roman"/>
            </w:rPr>
            <w:t>1.1竣工验收重点关注内容</w:t>
          </w:r>
          <w:r>
            <w:tab/>
          </w:r>
          <w:r>
            <w:fldChar w:fldCharType="begin"/>
          </w:r>
          <w:r>
            <w:instrText xml:space="preserve"> PAGEREF _Toc14 </w:instrText>
          </w:r>
          <w:r>
            <w:fldChar w:fldCharType="separate"/>
          </w:r>
          <w:r>
            <w:t>2</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_Toc28621 </w:instrText>
          </w:r>
          <w:r>
            <w:rPr>
              <w:rFonts w:ascii="Times New Roman" w:hAnsi="Times New Roman" w:eastAsia="宋体" w:cs="Times New Roman"/>
              <w:bCs/>
            </w:rPr>
            <w:fldChar w:fldCharType="separate"/>
          </w:r>
          <w:r>
            <w:rPr>
              <w:rFonts w:hint="eastAsia" w:ascii="Times New Roman" w:hAnsi="Times New Roman" w:eastAsia="宋体" w:cs="Times New Roman"/>
            </w:rPr>
            <w:t>1.2验收工作技术程序和内容</w:t>
          </w:r>
          <w:r>
            <w:tab/>
          </w:r>
          <w:r>
            <w:fldChar w:fldCharType="begin"/>
          </w:r>
          <w:r>
            <w:instrText xml:space="preserve"> PAGEREF _Toc28621 </w:instrText>
          </w:r>
          <w:r>
            <w:fldChar w:fldCharType="separate"/>
          </w:r>
          <w:r>
            <w:t>2</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_Toc18379 </w:instrText>
          </w:r>
          <w:r>
            <w:rPr>
              <w:rFonts w:ascii="Times New Roman" w:hAnsi="Times New Roman" w:eastAsia="宋体" w:cs="Times New Roman"/>
              <w:bCs/>
            </w:rPr>
            <w:fldChar w:fldCharType="separate"/>
          </w:r>
          <w:r>
            <w:rPr>
              <w:rFonts w:ascii="Times New Roman" w:hAnsi="Times New Roman" w:cs="Times New Roman" w:eastAsiaTheme="minorEastAsia"/>
              <w:bCs/>
            </w:rPr>
            <w:t>2.</w:t>
          </w:r>
          <w:r>
            <w:rPr>
              <w:rFonts w:hint="eastAsia" w:asciiTheme="minorEastAsia" w:hAnsiTheme="minorEastAsia" w:eastAsiaTheme="minorEastAsia" w:cstheme="minorEastAsia"/>
              <w:bCs/>
            </w:rPr>
            <w:t>验收依据</w:t>
          </w:r>
          <w:r>
            <w:tab/>
          </w:r>
          <w:r>
            <w:fldChar w:fldCharType="begin"/>
          </w:r>
          <w:r>
            <w:instrText xml:space="preserve"> PAGEREF _Toc18379 </w:instrText>
          </w:r>
          <w:r>
            <w:fldChar w:fldCharType="separate"/>
          </w:r>
          <w:r>
            <w:t>4</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_Toc21524 </w:instrText>
          </w:r>
          <w:r>
            <w:rPr>
              <w:rFonts w:ascii="Times New Roman" w:hAnsi="Times New Roman" w:eastAsia="宋体" w:cs="Times New Roman"/>
              <w:bCs/>
            </w:rPr>
            <w:fldChar w:fldCharType="separate"/>
          </w:r>
          <w:r>
            <w:rPr>
              <w:rFonts w:ascii="Times New Roman" w:hAnsi="Times New Roman" w:cs="Times New Roman"/>
              <w:kern w:val="0"/>
            </w:rPr>
            <w:t>2.1建设项目环境保护相关法律、法规和规章制度</w:t>
          </w:r>
          <w:r>
            <w:tab/>
          </w:r>
          <w:r>
            <w:fldChar w:fldCharType="begin"/>
          </w:r>
          <w:r>
            <w:instrText xml:space="preserve"> PAGEREF _Toc21524 </w:instrText>
          </w:r>
          <w:r>
            <w:fldChar w:fldCharType="separate"/>
          </w:r>
          <w:r>
            <w:t>4</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_Toc5279 </w:instrText>
          </w:r>
          <w:r>
            <w:rPr>
              <w:rFonts w:ascii="Times New Roman" w:hAnsi="Times New Roman" w:eastAsia="宋体" w:cs="Times New Roman"/>
              <w:bCs/>
            </w:rPr>
            <w:fldChar w:fldCharType="separate"/>
          </w:r>
          <w:r>
            <w:rPr>
              <w:rFonts w:ascii="Times New Roman" w:hAnsi="Times New Roman" w:cs="Times New Roman"/>
              <w:kern w:val="0"/>
            </w:rPr>
            <w:t>2.2建设项目竣工环境保护验收技术规范</w:t>
          </w:r>
          <w:r>
            <w:tab/>
          </w:r>
          <w:r>
            <w:fldChar w:fldCharType="begin"/>
          </w:r>
          <w:r>
            <w:instrText xml:space="preserve"> PAGEREF _Toc5279 </w:instrText>
          </w:r>
          <w:r>
            <w:fldChar w:fldCharType="separate"/>
          </w:r>
          <w:r>
            <w:t>4</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_Toc31800 </w:instrText>
          </w:r>
          <w:r>
            <w:rPr>
              <w:rFonts w:ascii="Times New Roman" w:hAnsi="Times New Roman" w:eastAsia="宋体" w:cs="Times New Roman"/>
              <w:bCs/>
            </w:rPr>
            <w:fldChar w:fldCharType="separate"/>
          </w:r>
          <w:r>
            <w:rPr>
              <w:rFonts w:ascii="Times New Roman" w:hAnsi="Times New Roman" w:cs="Times New Roman"/>
              <w:kern w:val="0"/>
              <w:szCs w:val="24"/>
            </w:rPr>
            <w:t>2.3建设项目环境影响报告书及其审批部门审批决定</w:t>
          </w:r>
          <w:r>
            <w:tab/>
          </w:r>
          <w:r>
            <w:fldChar w:fldCharType="begin"/>
          </w:r>
          <w:r>
            <w:instrText xml:space="preserve"> PAGEREF _Toc31800 </w:instrText>
          </w:r>
          <w:r>
            <w:fldChar w:fldCharType="separate"/>
          </w:r>
          <w:r>
            <w:t>4</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_Toc32114 </w:instrText>
          </w:r>
          <w:r>
            <w:rPr>
              <w:rFonts w:ascii="Times New Roman" w:hAnsi="Times New Roman" w:eastAsia="宋体" w:cs="Times New Roman"/>
              <w:bCs/>
            </w:rPr>
            <w:fldChar w:fldCharType="separate"/>
          </w:r>
          <w:r>
            <w:rPr>
              <w:rFonts w:ascii="Times New Roman" w:hAnsi="Times New Roman" w:eastAsia="宋体" w:cs="Times New Roman"/>
            </w:rPr>
            <w:t>2.4其他相关文件</w:t>
          </w:r>
          <w:r>
            <w:tab/>
          </w:r>
          <w:r>
            <w:fldChar w:fldCharType="begin"/>
          </w:r>
          <w:r>
            <w:instrText xml:space="preserve"> PAGEREF _Toc32114 </w:instrText>
          </w:r>
          <w:r>
            <w:fldChar w:fldCharType="separate"/>
          </w:r>
          <w:r>
            <w:t>4</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_Toc30375 </w:instrText>
          </w:r>
          <w:r>
            <w:rPr>
              <w:rFonts w:ascii="Times New Roman" w:hAnsi="Times New Roman" w:eastAsia="宋体" w:cs="Times New Roman"/>
              <w:bCs/>
            </w:rPr>
            <w:fldChar w:fldCharType="separate"/>
          </w:r>
          <w:r>
            <w:rPr>
              <w:rFonts w:hint="eastAsia" w:cs="Times New Roman" w:eastAsiaTheme="minorEastAsia"/>
              <w:szCs w:val="28"/>
            </w:rPr>
            <w:t>3.</w:t>
          </w:r>
          <w:r>
            <w:rPr>
              <w:rFonts w:cs="Times New Roman" w:eastAsiaTheme="minorEastAsia"/>
              <w:szCs w:val="28"/>
            </w:rPr>
            <w:t>项目建设情况</w:t>
          </w:r>
          <w:r>
            <w:tab/>
          </w:r>
          <w:r>
            <w:fldChar w:fldCharType="begin"/>
          </w:r>
          <w:r>
            <w:instrText xml:space="preserve"> PAGEREF _Toc30375 </w:instrText>
          </w:r>
          <w:r>
            <w:fldChar w:fldCharType="separate"/>
          </w:r>
          <w:r>
            <w:t>5</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_Toc26000 </w:instrText>
          </w:r>
          <w:r>
            <w:rPr>
              <w:rFonts w:ascii="Times New Roman" w:hAnsi="Times New Roman" w:eastAsia="宋体" w:cs="Times New Roman"/>
              <w:bCs/>
            </w:rPr>
            <w:fldChar w:fldCharType="separate"/>
          </w:r>
          <w:r>
            <w:rPr>
              <w:rFonts w:ascii="Times New Roman" w:hAnsi="Times New Roman" w:cs="Times New Roman" w:eastAsiaTheme="minorEastAsia"/>
              <w:kern w:val="0"/>
              <w:szCs w:val="24"/>
            </w:rPr>
            <w:t>3.1地理位置及平面布置</w:t>
          </w:r>
          <w:r>
            <w:tab/>
          </w:r>
          <w:r>
            <w:fldChar w:fldCharType="begin"/>
          </w:r>
          <w:r>
            <w:instrText xml:space="preserve"> PAGEREF _Toc26000 </w:instrText>
          </w:r>
          <w:r>
            <w:fldChar w:fldCharType="separate"/>
          </w:r>
          <w:r>
            <w:t>5</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_Toc21930 </w:instrText>
          </w:r>
          <w:r>
            <w:rPr>
              <w:rFonts w:ascii="Times New Roman" w:hAnsi="Times New Roman" w:eastAsia="宋体" w:cs="Times New Roman"/>
              <w:bCs/>
            </w:rPr>
            <w:fldChar w:fldCharType="separate"/>
          </w:r>
          <w:r>
            <w:rPr>
              <w:rFonts w:hint="eastAsia" w:ascii="Times New Roman"/>
              <w:bCs/>
            </w:rPr>
            <w:t>3.2建设内容</w:t>
          </w:r>
          <w:r>
            <w:rPr>
              <w:rFonts w:hint="eastAsia" w:ascii="Times New Roman"/>
              <w:bCs/>
              <w:lang w:eastAsia="zh-CN"/>
            </w:rPr>
            <w:t>及变动情况</w:t>
          </w:r>
          <w:r>
            <w:tab/>
          </w:r>
          <w:r>
            <w:fldChar w:fldCharType="begin"/>
          </w:r>
          <w:r>
            <w:instrText xml:space="preserve"> PAGEREF _Toc21930 </w:instrText>
          </w:r>
          <w:r>
            <w:fldChar w:fldCharType="separate"/>
          </w:r>
          <w:r>
            <w:t>10</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_Toc10631 </w:instrText>
          </w:r>
          <w:r>
            <w:rPr>
              <w:rFonts w:ascii="Times New Roman" w:hAnsi="Times New Roman" w:eastAsia="宋体" w:cs="Times New Roman"/>
              <w:bCs/>
            </w:rPr>
            <w:fldChar w:fldCharType="separate"/>
          </w:r>
          <w:r>
            <w:rPr>
              <w:rFonts w:hint="eastAsia" w:ascii="Times New Roman"/>
            </w:rPr>
            <w:t>3.3主要原辅材料</w:t>
          </w:r>
          <w:r>
            <w:tab/>
          </w:r>
          <w:r>
            <w:fldChar w:fldCharType="begin"/>
          </w:r>
          <w:r>
            <w:instrText xml:space="preserve"> PAGEREF _Toc10631 </w:instrText>
          </w:r>
          <w:r>
            <w:fldChar w:fldCharType="separate"/>
          </w:r>
          <w:r>
            <w:t>16</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_Toc29024 </w:instrText>
          </w:r>
          <w:r>
            <w:rPr>
              <w:rFonts w:ascii="Times New Roman" w:hAnsi="Times New Roman" w:eastAsia="宋体" w:cs="Times New Roman"/>
              <w:bCs/>
            </w:rPr>
            <w:fldChar w:fldCharType="separate"/>
          </w:r>
          <w:r>
            <w:rPr>
              <w:rFonts w:ascii="Times New Roman" w:hAnsi="Times New Roman" w:eastAsia="宋体" w:cs="Times New Roman"/>
              <w:bCs/>
            </w:rPr>
            <w:t>3.4</w:t>
          </w:r>
          <w:r>
            <w:rPr>
              <w:rFonts w:hint="eastAsia" w:ascii="Times New Roman" w:hAnsi="Times New Roman" w:eastAsia="宋体" w:cs="Times New Roman"/>
              <w:bCs/>
            </w:rPr>
            <w:t>项目</w:t>
          </w:r>
          <w:r>
            <w:rPr>
              <w:rFonts w:ascii="Times New Roman" w:hAnsi="Times New Roman" w:eastAsia="宋体" w:cs="Times New Roman"/>
              <w:bCs/>
            </w:rPr>
            <w:t>水平衡</w:t>
          </w:r>
          <w:r>
            <w:rPr>
              <w:rFonts w:hint="eastAsia" w:ascii="Times New Roman" w:hAnsi="Times New Roman" w:eastAsia="宋体" w:cs="Times New Roman"/>
              <w:bCs/>
            </w:rPr>
            <w:t>图</w:t>
          </w:r>
          <w:r>
            <w:tab/>
          </w:r>
          <w:r>
            <w:fldChar w:fldCharType="begin"/>
          </w:r>
          <w:r>
            <w:instrText xml:space="preserve"> PAGEREF _Toc29024 </w:instrText>
          </w:r>
          <w:r>
            <w:fldChar w:fldCharType="separate"/>
          </w:r>
          <w:r>
            <w:t>17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_Toc32699 </w:instrText>
          </w:r>
          <w:r>
            <w:rPr>
              <w:rFonts w:ascii="Times New Roman" w:hAnsi="Times New Roman" w:eastAsia="宋体" w:cs="Times New Roman"/>
              <w:bCs/>
            </w:rPr>
            <w:fldChar w:fldCharType="separate"/>
          </w:r>
          <w:r>
            <w:rPr>
              <w:rFonts w:ascii="Times New Roman" w:hAnsi="Times New Roman" w:eastAsia="宋体" w:cs="Times New Roman"/>
              <w:bCs/>
            </w:rPr>
            <w:t>3.5生产工艺</w:t>
          </w:r>
          <w:r>
            <w:tab/>
          </w:r>
          <w:r>
            <w:fldChar w:fldCharType="begin"/>
          </w:r>
          <w:r>
            <w:instrText xml:space="preserve"> PAGEREF _Toc32699 </w:instrText>
          </w:r>
          <w:r>
            <w:fldChar w:fldCharType="separate"/>
          </w:r>
          <w:r>
            <w:t>18</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_Toc21098 </w:instrText>
          </w:r>
          <w:r>
            <w:rPr>
              <w:rFonts w:ascii="Times New Roman" w:hAnsi="Times New Roman" w:eastAsia="宋体" w:cs="Times New Roman"/>
              <w:bCs/>
            </w:rPr>
            <w:fldChar w:fldCharType="separate"/>
          </w:r>
          <w:r>
            <w:rPr>
              <w:rFonts w:cs="Times New Roman" w:eastAsiaTheme="minorEastAsia"/>
              <w:bCs/>
            </w:rPr>
            <w:t>3.5.1生产工艺流程和产污环节分析</w:t>
          </w:r>
          <w:r>
            <w:tab/>
          </w:r>
          <w:r>
            <w:fldChar w:fldCharType="begin"/>
          </w:r>
          <w:r>
            <w:instrText xml:space="preserve"> PAGEREF _Toc21098 </w:instrText>
          </w:r>
          <w:r>
            <w:fldChar w:fldCharType="separate"/>
          </w:r>
          <w:r>
            <w:t>18</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_Toc4811 </w:instrText>
          </w:r>
          <w:r>
            <w:rPr>
              <w:rFonts w:ascii="Times New Roman" w:hAnsi="Times New Roman" w:eastAsia="宋体" w:cs="Times New Roman"/>
              <w:bCs/>
            </w:rPr>
            <w:fldChar w:fldCharType="separate"/>
          </w:r>
          <w:r>
            <w:rPr>
              <w:rFonts w:cs="Times New Roman"/>
              <w:bCs/>
            </w:rPr>
            <w:t>4</w:t>
          </w:r>
          <w:r>
            <w:rPr>
              <w:rFonts w:hint="eastAsia" w:cs="Times New Roman"/>
              <w:bCs/>
            </w:rPr>
            <w:t>.</w:t>
          </w:r>
          <w:r>
            <w:rPr>
              <w:rFonts w:cs="Times New Roman"/>
              <w:bCs/>
            </w:rPr>
            <w:t>环境保护设施</w:t>
          </w:r>
          <w:r>
            <w:tab/>
          </w:r>
          <w:r>
            <w:fldChar w:fldCharType="begin"/>
          </w:r>
          <w:r>
            <w:instrText xml:space="preserve"> PAGEREF _Toc4811 </w:instrText>
          </w:r>
          <w:r>
            <w:fldChar w:fldCharType="separate"/>
          </w:r>
          <w:r>
            <w:t>25</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_Toc21325 </w:instrText>
          </w:r>
          <w:r>
            <w:rPr>
              <w:rFonts w:ascii="Times New Roman" w:hAnsi="Times New Roman" w:eastAsia="宋体" w:cs="Times New Roman"/>
              <w:bCs/>
            </w:rPr>
            <w:fldChar w:fldCharType="separate"/>
          </w:r>
          <w:r>
            <w:rPr>
              <w:rFonts w:ascii="Times New Roman" w:hAnsi="Times New Roman" w:cs="Times New Roman"/>
              <w:szCs w:val="24"/>
            </w:rPr>
            <w:t>4.1污染物治理/处置设施</w:t>
          </w:r>
          <w:r>
            <w:tab/>
          </w:r>
          <w:r>
            <w:fldChar w:fldCharType="begin"/>
          </w:r>
          <w:r>
            <w:instrText xml:space="preserve"> PAGEREF _Toc21325 </w:instrText>
          </w:r>
          <w:r>
            <w:fldChar w:fldCharType="separate"/>
          </w:r>
          <w:r>
            <w:t>25</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_Toc19460 </w:instrText>
          </w:r>
          <w:r>
            <w:rPr>
              <w:rFonts w:ascii="Times New Roman" w:hAnsi="Times New Roman" w:eastAsia="宋体" w:cs="Times New Roman"/>
              <w:bCs/>
            </w:rPr>
            <w:fldChar w:fldCharType="separate"/>
          </w:r>
          <w:r>
            <w:rPr>
              <w:rFonts w:ascii="Times New Roman" w:hAnsi="Times New Roman" w:eastAsia="宋体" w:cs="Times New Roman"/>
              <w:bCs/>
            </w:rPr>
            <w:t>4.1.1废水</w:t>
          </w:r>
          <w:r>
            <w:tab/>
          </w:r>
          <w:r>
            <w:fldChar w:fldCharType="begin"/>
          </w:r>
          <w:r>
            <w:instrText xml:space="preserve"> PAGEREF _Toc19460 </w:instrText>
          </w:r>
          <w:r>
            <w:fldChar w:fldCharType="separate"/>
          </w:r>
          <w:r>
            <w:t>25</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_Toc13718 </w:instrText>
          </w:r>
          <w:r>
            <w:rPr>
              <w:rFonts w:ascii="Times New Roman" w:hAnsi="Times New Roman" w:eastAsia="宋体" w:cs="Times New Roman"/>
              <w:bCs/>
            </w:rPr>
            <w:fldChar w:fldCharType="separate"/>
          </w:r>
          <w:r>
            <w:rPr>
              <w:rFonts w:hint="eastAsia"/>
              <w:bCs/>
              <w:szCs w:val="24"/>
            </w:rPr>
            <w:t>4.1.2废气</w:t>
          </w:r>
          <w:r>
            <w:tab/>
          </w:r>
          <w:r>
            <w:fldChar w:fldCharType="begin"/>
          </w:r>
          <w:r>
            <w:instrText xml:space="preserve"> PAGEREF _Toc13718 </w:instrText>
          </w:r>
          <w:r>
            <w:fldChar w:fldCharType="separate"/>
          </w:r>
          <w:r>
            <w:t>25</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_Toc13933 </w:instrText>
          </w:r>
          <w:r>
            <w:rPr>
              <w:rFonts w:ascii="Times New Roman" w:hAnsi="Times New Roman" w:eastAsia="宋体" w:cs="Times New Roman"/>
              <w:bCs/>
            </w:rPr>
            <w:fldChar w:fldCharType="separate"/>
          </w:r>
          <w:r>
            <w:rPr>
              <w:rFonts w:cs="Times New Roman"/>
              <w:bCs/>
              <w:szCs w:val="24"/>
            </w:rPr>
            <w:t>4.1.3噪声</w:t>
          </w:r>
          <w:r>
            <w:tab/>
          </w:r>
          <w:r>
            <w:fldChar w:fldCharType="begin"/>
          </w:r>
          <w:r>
            <w:instrText xml:space="preserve"> PAGEREF _Toc13933 </w:instrText>
          </w:r>
          <w:r>
            <w:fldChar w:fldCharType="separate"/>
          </w:r>
          <w:r>
            <w:t>26</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_Toc4403 </w:instrText>
          </w:r>
          <w:r>
            <w:rPr>
              <w:rFonts w:ascii="Times New Roman" w:hAnsi="Times New Roman" w:eastAsia="宋体" w:cs="Times New Roman"/>
              <w:bCs/>
            </w:rPr>
            <w:fldChar w:fldCharType="separate"/>
          </w:r>
          <w:r>
            <w:rPr>
              <w:bCs/>
              <w:szCs w:val="24"/>
            </w:rPr>
            <w:t>4.</w:t>
          </w:r>
          <w:r>
            <w:rPr>
              <w:rFonts w:hint="eastAsia"/>
              <w:bCs/>
              <w:szCs w:val="24"/>
            </w:rPr>
            <w:t>1.4</w:t>
          </w:r>
          <w:r>
            <w:rPr>
              <w:bCs/>
              <w:szCs w:val="24"/>
            </w:rPr>
            <w:t>固体废弃物</w:t>
          </w:r>
          <w:r>
            <w:tab/>
          </w:r>
          <w:r>
            <w:fldChar w:fldCharType="begin"/>
          </w:r>
          <w:r>
            <w:instrText xml:space="preserve"> PAGEREF _Toc4403 </w:instrText>
          </w:r>
          <w:r>
            <w:fldChar w:fldCharType="separate"/>
          </w:r>
          <w:r>
            <w:t>26</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_Toc26417 </w:instrText>
          </w:r>
          <w:r>
            <w:rPr>
              <w:rFonts w:ascii="Times New Roman" w:hAnsi="Times New Roman" w:eastAsia="宋体" w:cs="Times New Roman"/>
              <w:bCs/>
            </w:rPr>
            <w:fldChar w:fldCharType="separate"/>
          </w:r>
          <w:r>
            <w:rPr>
              <w:rFonts w:ascii="Times New Roman" w:hAnsi="Times New Roman" w:cs="Times New Roman"/>
              <w:bCs/>
            </w:rPr>
            <w:t>4.2其他环保设施</w:t>
          </w:r>
          <w:r>
            <w:tab/>
          </w:r>
          <w:r>
            <w:fldChar w:fldCharType="begin"/>
          </w:r>
          <w:r>
            <w:instrText xml:space="preserve"> PAGEREF _Toc26417 </w:instrText>
          </w:r>
          <w:r>
            <w:fldChar w:fldCharType="separate"/>
          </w:r>
          <w:r>
            <w:t>27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_Toc30640 </w:instrText>
          </w:r>
          <w:r>
            <w:rPr>
              <w:rFonts w:ascii="Times New Roman" w:hAnsi="Times New Roman" w:eastAsia="宋体" w:cs="Times New Roman"/>
              <w:bCs/>
            </w:rPr>
            <w:fldChar w:fldCharType="separate"/>
          </w:r>
          <w:r>
            <w:rPr>
              <w:rFonts w:ascii="Times New Roman" w:hAnsi="Times New Roman" w:cs="Times New Roman"/>
            </w:rPr>
            <w:t>4.2.1环境风险防范设施</w:t>
          </w:r>
          <w:r>
            <w:tab/>
          </w:r>
          <w:r>
            <w:fldChar w:fldCharType="begin"/>
          </w:r>
          <w:r>
            <w:instrText xml:space="preserve"> PAGEREF _Toc30640 </w:instrText>
          </w:r>
          <w:r>
            <w:fldChar w:fldCharType="separate"/>
          </w:r>
          <w:r>
            <w:t>27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_Toc32381 </w:instrText>
          </w:r>
          <w:r>
            <w:rPr>
              <w:rFonts w:ascii="Times New Roman" w:hAnsi="Times New Roman" w:eastAsia="宋体" w:cs="Times New Roman"/>
              <w:bCs/>
            </w:rPr>
            <w:fldChar w:fldCharType="separate"/>
          </w:r>
          <w:r>
            <w:rPr>
              <w:rFonts w:ascii="Times New Roman" w:hAnsi="Times New Roman" w:cs="Times New Roman"/>
            </w:rPr>
            <w:t>4.2.</w:t>
          </w:r>
          <w:r>
            <w:rPr>
              <w:rFonts w:hint="eastAsia" w:ascii="Times New Roman" w:hAnsi="Times New Roman" w:cs="Times New Roman"/>
              <w:lang w:val="en-US" w:eastAsia="zh-CN"/>
            </w:rPr>
            <w:t>2</w:t>
          </w:r>
          <w:r>
            <w:rPr>
              <w:rFonts w:ascii="Times New Roman" w:hAnsi="Times New Roman" w:cs="Times New Roman"/>
            </w:rPr>
            <w:t>其他设施</w:t>
          </w:r>
          <w:r>
            <w:tab/>
          </w:r>
          <w:r>
            <w:fldChar w:fldCharType="begin"/>
          </w:r>
          <w:r>
            <w:instrText xml:space="preserve"> PAGEREF _Toc32381 </w:instrText>
          </w:r>
          <w:r>
            <w:fldChar w:fldCharType="separate"/>
          </w:r>
          <w:r>
            <w:t>27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_Toc12847 </w:instrText>
          </w:r>
          <w:r>
            <w:rPr>
              <w:rFonts w:ascii="Times New Roman" w:hAnsi="Times New Roman" w:eastAsia="宋体" w:cs="Times New Roman"/>
              <w:bCs/>
            </w:rPr>
            <w:fldChar w:fldCharType="separate"/>
          </w:r>
          <w:r>
            <w:rPr>
              <w:rFonts w:ascii="Times New Roman" w:eastAsia="宋体"/>
              <w:bCs/>
            </w:rPr>
            <w:t>4.3环保设施投资及“三同时”落实情况</w:t>
          </w:r>
          <w:r>
            <w:tab/>
          </w:r>
          <w:r>
            <w:fldChar w:fldCharType="begin"/>
          </w:r>
          <w:r>
            <w:instrText xml:space="preserve"> PAGEREF _Toc12847 </w:instrText>
          </w:r>
          <w:r>
            <w:fldChar w:fldCharType="separate"/>
          </w:r>
          <w:r>
            <w:t>28</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_Toc11261 </w:instrText>
          </w:r>
          <w:r>
            <w:rPr>
              <w:rFonts w:ascii="Times New Roman" w:hAnsi="Times New Roman" w:eastAsia="宋体" w:cs="Times New Roman"/>
              <w:bCs/>
            </w:rPr>
            <w:fldChar w:fldCharType="separate"/>
          </w:r>
          <w:r>
            <w:rPr>
              <w:bCs/>
            </w:rPr>
            <w:t>5</w:t>
          </w:r>
          <w:r>
            <w:rPr>
              <w:rFonts w:hint="eastAsia"/>
              <w:bCs/>
            </w:rPr>
            <w:t>.</w:t>
          </w:r>
          <w:r>
            <w:rPr>
              <w:bCs/>
            </w:rPr>
            <w:t>建设项目环评报告</w:t>
          </w:r>
          <w:r>
            <w:rPr>
              <w:rFonts w:hint="eastAsia"/>
              <w:bCs/>
            </w:rPr>
            <w:t>书</w:t>
          </w:r>
          <w:r>
            <w:rPr>
              <w:bCs/>
            </w:rPr>
            <w:t>的主要结论与建议及审批部门审批</w:t>
          </w:r>
          <w:r>
            <w:rPr>
              <w:rFonts w:hint="eastAsia"/>
              <w:bCs/>
            </w:rPr>
            <w:t>意见</w:t>
          </w:r>
          <w:r>
            <w:tab/>
          </w:r>
          <w:r>
            <w:fldChar w:fldCharType="begin"/>
          </w:r>
          <w:r>
            <w:instrText xml:space="preserve"> PAGEREF _Toc11261 </w:instrText>
          </w:r>
          <w:r>
            <w:fldChar w:fldCharType="separate"/>
          </w:r>
          <w:r>
            <w:t>29</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_Toc30809 </w:instrText>
          </w:r>
          <w:r>
            <w:rPr>
              <w:rFonts w:ascii="Times New Roman" w:hAnsi="Times New Roman" w:eastAsia="宋体" w:cs="Times New Roman"/>
              <w:bCs/>
            </w:rPr>
            <w:fldChar w:fldCharType="separate"/>
          </w:r>
          <w:r>
            <w:rPr>
              <w:rFonts w:ascii="Times New Roman" w:eastAsia="宋体"/>
              <w:bCs/>
              <w:szCs w:val="24"/>
            </w:rPr>
            <w:t>5.1</w:t>
          </w:r>
          <w:r>
            <w:rPr>
              <w:rFonts w:ascii="Times New Roman" w:hAnsi="宋体" w:eastAsia="宋体"/>
              <w:bCs/>
              <w:szCs w:val="24"/>
            </w:rPr>
            <w:t>建设项目环评报告</w:t>
          </w:r>
          <w:r>
            <w:rPr>
              <w:rFonts w:hint="eastAsia" w:hAnsi="宋体"/>
              <w:bCs/>
              <w:szCs w:val="24"/>
            </w:rPr>
            <w:t>书</w:t>
          </w:r>
          <w:r>
            <w:rPr>
              <w:rFonts w:ascii="Times New Roman" w:hAnsi="宋体" w:eastAsia="宋体"/>
              <w:bCs/>
              <w:szCs w:val="24"/>
            </w:rPr>
            <w:t>的主要结论与建议</w:t>
          </w:r>
          <w:r>
            <w:tab/>
          </w:r>
          <w:r>
            <w:fldChar w:fldCharType="begin"/>
          </w:r>
          <w:r>
            <w:instrText xml:space="preserve"> PAGEREF _Toc30809 </w:instrText>
          </w:r>
          <w:r>
            <w:fldChar w:fldCharType="separate"/>
          </w:r>
          <w:r>
            <w:t>29</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_Toc15523 </w:instrText>
          </w:r>
          <w:r>
            <w:rPr>
              <w:rFonts w:ascii="Times New Roman" w:hAnsi="Times New Roman" w:eastAsia="宋体" w:cs="Times New Roman"/>
              <w:bCs/>
            </w:rPr>
            <w:fldChar w:fldCharType="separate"/>
          </w:r>
          <w:r>
            <w:rPr>
              <w:rFonts w:ascii="Times New Roman" w:hAnsi="Times New Roman" w:cs="Times New Roman" w:eastAsiaTheme="minorEastAsia"/>
            </w:rPr>
            <w:t>5.2审批部门审批意见</w:t>
          </w:r>
          <w:r>
            <w:tab/>
          </w:r>
          <w:r>
            <w:fldChar w:fldCharType="begin"/>
          </w:r>
          <w:r>
            <w:instrText xml:space="preserve"> PAGEREF _Toc15523 </w:instrText>
          </w:r>
          <w:r>
            <w:fldChar w:fldCharType="separate"/>
          </w:r>
          <w:r>
            <w:t>29</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_Toc12185 </w:instrText>
          </w:r>
          <w:r>
            <w:rPr>
              <w:rFonts w:ascii="Times New Roman" w:hAnsi="Times New Roman" w:eastAsia="宋体" w:cs="Times New Roman"/>
              <w:bCs/>
            </w:rPr>
            <w:fldChar w:fldCharType="separate"/>
          </w:r>
          <w:r>
            <w:rPr>
              <w:bCs/>
            </w:rPr>
            <w:t>6</w:t>
          </w:r>
          <w:r>
            <w:rPr>
              <w:rFonts w:hint="eastAsia"/>
              <w:bCs/>
            </w:rPr>
            <w:t>.</w:t>
          </w:r>
          <w:r>
            <w:rPr>
              <w:bCs/>
            </w:rPr>
            <w:t>验收执行标准</w:t>
          </w:r>
          <w:r>
            <w:tab/>
          </w:r>
          <w:r>
            <w:fldChar w:fldCharType="begin"/>
          </w:r>
          <w:r>
            <w:instrText xml:space="preserve"> PAGEREF _Toc12185 </w:instrText>
          </w:r>
          <w:r>
            <w:fldChar w:fldCharType="separate"/>
          </w:r>
          <w:r>
            <w:t>32</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_Toc9063 </w:instrText>
          </w:r>
          <w:r>
            <w:rPr>
              <w:rFonts w:ascii="Times New Roman" w:hAnsi="Times New Roman" w:eastAsia="宋体" w:cs="Times New Roman"/>
              <w:bCs/>
            </w:rPr>
            <w:fldChar w:fldCharType="separate"/>
          </w:r>
          <w:r>
            <w:rPr>
              <w:rFonts w:ascii="Times New Roman" w:hAnsi="Times New Roman" w:cs="Times New Roman"/>
              <w:szCs w:val="24"/>
            </w:rPr>
            <w:t>6.1废水污染物排放标准</w:t>
          </w:r>
          <w:r>
            <w:tab/>
          </w:r>
          <w:r>
            <w:fldChar w:fldCharType="begin"/>
          </w:r>
          <w:r>
            <w:instrText xml:space="preserve"> PAGEREF _Toc9063 </w:instrText>
          </w:r>
          <w:r>
            <w:fldChar w:fldCharType="separate"/>
          </w:r>
          <w:r>
            <w:t>32</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_Toc32091 </w:instrText>
          </w:r>
          <w:r>
            <w:rPr>
              <w:rFonts w:ascii="Times New Roman" w:hAnsi="Times New Roman" w:eastAsia="宋体" w:cs="Times New Roman"/>
              <w:bCs/>
            </w:rPr>
            <w:fldChar w:fldCharType="separate"/>
          </w:r>
          <w:r>
            <w:rPr>
              <w:rFonts w:ascii="Times New Roman"/>
              <w:szCs w:val="24"/>
            </w:rPr>
            <w:t>6.</w:t>
          </w:r>
          <w:r>
            <w:rPr>
              <w:rFonts w:hint="eastAsia" w:ascii="Times New Roman"/>
              <w:szCs w:val="24"/>
            </w:rPr>
            <w:t>2废</w:t>
          </w:r>
          <w:r>
            <w:rPr>
              <w:rFonts w:ascii="Times New Roman" w:hAnsi="宋体"/>
              <w:szCs w:val="24"/>
            </w:rPr>
            <w:t>气污染物排放标准</w:t>
          </w:r>
          <w:r>
            <w:tab/>
          </w:r>
          <w:r>
            <w:fldChar w:fldCharType="begin"/>
          </w:r>
          <w:r>
            <w:instrText xml:space="preserve"> PAGEREF _Toc32091 </w:instrText>
          </w:r>
          <w:r>
            <w:fldChar w:fldCharType="separate"/>
          </w:r>
          <w:r>
            <w:t>32</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_Toc15633 </w:instrText>
          </w:r>
          <w:r>
            <w:rPr>
              <w:rFonts w:ascii="Times New Roman" w:hAnsi="Times New Roman" w:eastAsia="宋体" w:cs="Times New Roman"/>
              <w:bCs/>
            </w:rPr>
            <w:fldChar w:fldCharType="separate"/>
          </w:r>
          <w:r>
            <w:rPr>
              <w:rFonts w:ascii="Times New Roman"/>
              <w:szCs w:val="24"/>
            </w:rPr>
            <w:t>6.</w:t>
          </w:r>
          <w:r>
            <w:rPr>
              <w:rFonts w:hint="eastAsia" w:ascii="Times New Roman"/>
              <w:szCs w:val="24"/>
            </w:rPr>
            <w:t>3</w:t>
          </w:r>
          <w:r>
            <w:rPr>
              <w:rFonts w:ascii="Times New Roman" w:hAnsi="宋体"/>
              <w:szCs w:val="24"/>
            </w:rPr>
            <w:t>噪声排放标准</w:t>
          </w:r>
          <w:r>
            <w:tab/>
          </w:r>
          <w:r>
            <w:fldChar w:fldCharType="begin"/>
          </w:r>
          <w:r>
            <w:instrText xml:space="preserve"> PAGEREF _Toc15633 </w:instrText>
          </w:r>
          <w:r>
            <w:fldChar w:fldCharType="separate"/>
          </w:r>
          <w:r>
            <w:t>33</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_Toc3117 </w:instrText>
          </w:r>
          <w:r>
            <w:rPr>
              <w:rFonts w:ascii="Times New Roman" w:hAnsi="Times New Roman" w:eastAsia="宋体" w:cs="Times New Roman"/>
              <w:bCs/>
            </w:rPr>
            <w:fldChar w:fldCharType="separate"/>
          </w:r>
          <w:r>
            <w:rPr>
              <w:rFonts w:ascii="Times New Roman"/>
              <w:szCs w:val="24"/>
            </w:rPr>
            <w:t>6.4总量控制</w:t>
          </w:r>
          <w:r>
            <w:tab/>
          </w:r>
          <w:r>
            <w:fldChar w:fldCharType="begin"/>
          </w:r>
          <w:r>
            <w:instrText xml:space="preserve"> PAGEREF _Toc3117 </w:instrText>
          </w:r>
          <w:r>
            <w:fldChar w:fldCharType="separate"/>
          </w:r>
          <w:r>
            <w:t>34</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_Toc20304 </w:instrText>
          </w:r>
          <w:r>
            <w:rPr>
              <w:rFonts w:ascii="Times New Roman" w:hAnsi="Times New Roman" w:eastAsia="宋体" w:cs="Times New Roman"/>
              <w:bCs/>
            </w:rPr>
            <w:fldChar w:fldCharType="separate"/>
          </w:r>
          <w:r>
            <w:rPr>
              <w:bCs/>
            </w:rPr>
            <w:t>7</w:t>
          </w:r>
          <w:r>
            <w:rPr>
              <w:rFonts w:hint="eastAsia"/>
              <w:bCs/>
            </w:rPr>
            <w:t>.</w:t>
          </w:r>
          <w:r>
            <w:rPr>
              <w:bCs/>
            </w:rPr>
            <w:t>验收监测内容</w:t>
          </w:r>
          <w:r>
            <w:tab/>
          </w:r>
          <w:r>
            <w:fldChar w:fldCharType="begin"/>
          </w:r>
          <w:r>
            <w:instrText xml:space="preserve"> PAGEREF _Toc20304 </w:instrText>
          </w:r>
          <w:r>
            <w:fldChar w:fldCharType="separate"/>
          </w:r>
          <w:r>
            <w:t>35</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_Toc8941 </w:instrText>
          </w:r>
          <w:r>
            <w:rPr>
              <w:rFonts w:ascii="Times New Roman" w:hAnsi="Times New Roman" w:eastAsia="宋体" w:cs="Times New Roman"/>
              <w:bCs/>
            </w:rPr>
            <w:fldChar w:fldCharType="separate"/>
          </w:r>
          <w:r>
            <w:rPr>
              <w:rFonts w:ascii="Times New Roman"/>
              <w:szCs w:val="24"/>
            </w:rPr>
            <w:t>7.1废水</w:t>
          </w:r>
          <w:r>
            <w:tab/>
          </w:r>
          <w:r>
            <w:fldChar w:fldCharType="begin"/>
          </w:r>
          <w:r>
            <w:instrText xml:space="preserve"> PAGEREF _Toc8941 </w:instrText>
          </w:r>
          <w:r>
            <w:fldChar w:fldCharType="separate"/>
          </w:r>
          <w:r>
            <w:t>35</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_Toc1462 </w:instrText>
          </w:r>
          <w:r>
            <w:rPr>
              <w:rFonts w:ascii="Times New Roman" w:hAnsi="Times New Roman" w:eastAsia="宋体" w:cs="Times New Roman"/>
              <w:bCs/>
            </w:rPr>
            <w:fldChar w:fldCharType="separate"/>
          </w:r>
          <w:r>
            <w:rPr>
              <w:rFonts w:ascii="Times New Roman"/>
              <w:szCs w:val="24"/>
            </w:rPr>
            <w:t>7.2废气</w:t>
          </w:r>
          <w:r>
            <w:tab/>
          </w:r>
          <w:r>
            <w:fldChar w:fldCharType="begin"/>
          </w:r>
          <w:r>
            <w:instrText xml:space="preserve"> PAGEREF _Toc1462 </w:instrText>
          </w:r>
          <w:r>
            <w:fldChar w:fldCharType="separate"/>
          </w:r>
          <w:r>
            <w:t>35</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_Toc26221 </w:instrText>
          </w:r>
          <w:r>
            <w:rPr>
              <w:rFonts w:ascii="Times New Roman" w:hAnsi="Times New Roman" w:eastAsia="宋体" w:cs="Times New Roman"/>
              <w:bCs/>
            </w:rPr>
            <w:fldChar w:fldCharType="separate"/>
          </w:r>
          <w:r>
            <w:rPr>
              <w:rFonts w:ascii="Times New Roman"/>
              <w:szCs w:val="24"/>
            </w:rPr>
            <w:t>7.3噪声</w:t>
          </w:r>
          <w:r>
            <w:tab/>
          </w:r>
          <w:r>
            <w:fldChar w:fldCharType="begin"/>
          </w:r>
          <w:r>
            <w:instrText xml:space="preserve"> PAGEREF _Toc26221 </w:instrText>
          </w:r>
          <w:r>
            <w:fldChar w:fldCharType="separate"/>
          </w:r>
          <w:r>
            <w:t>35</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_Toc837 </w:instrText>
          </w:r>
          <w:r>
            <w:rPr>
              <w:rFonts w:ascii="Times New Roman" w:hAnsi="Times New Roman" w:eastAsia="宋体" w:cs="Times New Roman"/>
              <w:bCs/>
            </w:rPr>
            <w:fldChar w:fldCharType="separate"/>
          </w:r>
          <w:r>
            <w:rPr>
              <w:rFonts w:hint="eastAsia"/>
              <w:szCs w:val="28"/>
            </w:rPr>
            <w:t>8.质量保证及质量控制</w:t>
          </w:r>
          <w:r>
            <w:tab/>
          </w:r>
          <w:r>
            <w:fldChar w:fldCharType="begin"/>
          </w:r>
          <w:r>
            <w:instrText xml:space="preserve"> PAGEREF _Toc837 </w:instrText>
          </w:r>
          <w:r>
            <w:fldChar w:fldCharType="separate"/>
          </w:r>
          <w:r>
            <w:t>36</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_Toc8499 </w:instrText>
          </w:r>
          <w:r>
            <w:rPr>
              <w:rFonts w:ascii="Times New Roman" w:hAnsi="Times New Roman" w:eastAsia="宋体" w:cs="Times New Roman"/>
              <w:bCs/>
            </w:rPr>
            <w:fldChar w:fldCharType="separate"/>
          </w:r>
          <w:r>
            <w:rPr>
              <w:rFonts w:hint="eastAsia" w:ascii="Times New Roman" w:hAnsi="Times New Roman"/>
              <w:szCs w:val="24"/>
            </w:rPr>
            <w:t>8.1 监测分析方法</w:t>
          </w:r>
          <w:r>
            <w:tab/>
          </w:r>
          <w:r>
            <w:fldChar w:fldCharType="begin"/>
          </w:r>
          <w:r>
            <w:instrText xml:space="preserve"> PAGEREF _Toc8499 </w:instrText>
          </w:r>
          <w:r>
            <w:fldChar w:fldCharType="separate"/>
          </w:r>
          <w:r>
            <w:t>36</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_Toc5556 </w:instrText>
          </w:r>
          <w:r>
            <w:rPr>
              <w:rFonts w:ascii="Times New Roman" w:hAnsi="Times New Roman" w:eastAsia="宋体" w:cs="Times New Roman"/>
              <w:bCs/>
            </w:rPr>
            <w:fldChar w:fldCharType="separate"/>
          </w:r>
          <w:r>
            <w:rPr>
              <w:rFonts w:hint="eastAsia" w:ascii="Times New Roman" w:hAnsi="宋体" w:cs="Times New Roman"/>
              <w:bCs/>
              <w:szCs w:val="24"/>
            </w:rPr>
            <w:t>8.2监测仪器</w:t>
          </w:r>
          <w:r>
            <w:tab/>
          </w:r>
          <w:r>
            <w:fldChar w:fldCharType="begin"/>
          </w:r>
          <w:r>
            <w:instrText xml:space="preserve"> PAGEREF _Toc5556 </w:instrText>
          </w:r>
          <w:r>
            <w:fldChar w:fldCharType="separate"/>
          </w:r>
          <w:r>
            <w:t>37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_Toc2625 </w:instrText>
          </w:r>
          <w:r>
            <w:rPr>
              <w:rFonts w:ascii="Times New Roman" w:hAnsi="Times New Roman" w:eastAsia="宋体" w:cs="Times New Roman"/>
              <w:bCs/>
            </w:rPr>
            <w:fldChar w:fldCharType="separate"/>
          </w:r>
          <w:r>
            <w:rPr>
              <w:rFonts w:ascii="Times New Roman" w:hAnsi="Times New Roman" w:cs="Times New Roman" w:eastAsiaTheme="minorEastAsia"/>
              <w:bCs/>
              <w:szCs w:val="24"/>
            </w:rPr>
            <w:t>8.3废水监测分析过程中的质量保证和质量控制</w:t>
          </w:r>
          <w:r>
            <w:tab/>
          </w:r>
          <w:r>
            <w:fldChar w:fldCharType="begin"/>
          </w:r>
          <w:r>
            <w:instrText xml:space="preserve"> PAGEREF _Toc2625 </w:instrText>
          </w:r>
          <w:r>
            <w:fldChar w:fldCharType="separate"/>
          </w:r>
          <w:r>
            <w:t>37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_Toc16282 </w:instrText>
          </w:r>
          <w:r>
            <w:rPr>
              <w:rFonts w:ascii="Times New Roman" w:hAnsi="Times New Roman" w:eastAsia="宋体" w:cs="Times New Roman"/>
              <w:bCs/>
            </w:rPr>
            <w:fldChar w:fldCharType="separate"/>
          </w:r>
          <w:r>
            <w:rPr>
              <w:rFonts w:ascii="Times New Roman" w:hAnsi="Times New Roman" w:cs="Times New Roman" w:eastAsiaTheme="minorEastAsia"/>
              <w:bCs/>
              <w:szCs w:val="24"/>
            </w:rPr>
            <w:t>8.4废气监测分析过程中的质量保证和质量控制</w:t>
          </w:r>
          <w:r>
            <w:tab/>
          </w:r>
          <w:r>
            <w:fldChar w:fldCharType="begin"/>
          </w:r>
          <w:r>
            <w:instrText xml:space="preserve"> PAGEREF _Toc16282 </w:instrText>
          </w:r>
          <w:r>
            <w:fldChar w:fldCharType="separate"/>
          </w:r>
          <w:r>
            <w:t>37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_Toc2821 </w:instrText>
          </w:r>
          <w:r>
            <w:rPr>
              <w:rFonts w:ascii="Times New Roman" w:hAnsi="Times New Roman" w:eastAsia="宋体" w:cs="Times New Roman"/>
              <w:bCs/>
            </w:rPr>
            <w:fldChar w:fldCharType="separate"/>
          </w:r>
          <w:r>
            <w:rPr>
              <w:rFonts w:ascii="Times New Roman" w:hAnsi="Times New Roman" w:cs="Times New Roman" w:eastAsiaTheme="minorEastAsia"/>
              <w:bCs/>
              <w:szCs w:val="24"/>
            </w:rPr>
            <w:t>8.5噪声监测过程中的质量保证和质量控制</w:t>
          </w:r>
          <w:r>
            <w:tab/>
          </w:r>
          <w:r>
            <w:fldChar w:fldCharType="begin"/>
          </w:r>
          <w:r>
            <w:instrText xml:space="preserve"> PAGEREF _Toc2821 </w:instrText>
          </w:r>
          <w:r>
            <w:fldChar w:fldCharType="separate"/>
          </w:r>
          <w:r>
            <w:t>37</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_Toc14613 </w:instrText>
          </w:r>
          <w:r>
            <w:rPr>
              <w:rFonts w:ascii="Times New Roman" w:hAnsi="Times New Roman" w:eastAsia="宋体" w:cs="Times New Roman"/>
              <w:bCs/>
            </w:rPr>
            <w:fldChar w:fldCharType="separate"/>
          </w:r>
          <w:r>
            <w:rPr>
              <w:rFonts w:ascii="Times New Roman" w:hAnsi="Times New Roman" w:cs="Times New Roman"/>
              <w:szCs w:val="28"/>
            </w:rPr>
            <w:t>9</w:t>
          </w:r>
          <w:r>
            <w:rPr>
              <w:rFonts w:hint="eastAsia" w:ascii="Times New Roman" w:hAnsi="Times New Roman" w:cs="Times New Roman"/>
              <w:szCs w:val="28"/>
            </w:rPr>
            <w:t>.</w:t>
          </w:r>
          <w:r>
            <w:rPr>
              <w:rFonts w:ascii="Times New Roman" w:hAnsi="Times New Roman" w:cs="Times New Roman"/>
              <w:szCs w:val="28"/>
            </w:rPr>
            <w:t>验收监测结果及评价</w:t>
          </w:r>
          <w:r>
            <w:tab/>
          </w:r>
          <w:r>
            <w:fldChar w:fldCharType="begin"/>
          </w:r>
          <w:r>
            <w:instrText xml:space="preserve"> PAGEREF _Toc14613 </w:instrText>
          </w:r>
          <w:r>
            <w:fldChar w:fldCharType="separate"/>
          </w:r>
          <w:r>
            <w:t>39</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_Toc17889 </w:instrText>
          </w:r>
          <w:r>
            <w:rPr>
              <w:rFonts w:ascii="Times New Roman" w:hAnsi="Times New Roman" w:eastAsia="宋体" w:cs="Times New Roman"/>
              <w:bCs/>
            </w:rPr>
            <w:fldChar w:fldCharType="separate"/>
          </w:r>
          <w:r>
            <w:rPr>
              <w:rFonts w:ascii="Times New Roman"/>
              <w:szCs w:val="24"/>
            </w:rPr>
            <w:t>9.1验收监测期间工况</w:t>
          </w:r>
          <w:r>
            <w:tab/>
          </w:r>
          <w:r>
            <w:fldChar w:fldCharType="begin"/>
          </w:r>
          <w:r>
            <w:instrText xml:space="preserve"> PAGEREF _Toc17889 </w:instrText>
          </w:r>
          <w:r>
            <w:fldChar w:fldCharType="separate"/>
          </w:r>
          <w:r>
            <w:t>39</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_Toc17080 </w:instrText>
          </w:r>
          <w:r>
            <w:rPr>
              <w:rFonts w:ascii="Times New Roman" w:hAnsi="Times New Roman" w:eastAsia="宋体" w:cs="Times New Roman"/>
              <w:bCs/>
            </w:rPr>
            <w:fldChar w:fldCharType="separate"/>
          </w:r>
          <w:r>
            <w:rPr>
              <w:rFonts w:ascii="Times New Roman" w:hAnsi="Times New Roman" w:cs="Times New Roman" w:eastAsiaTheme="minorEastAsia"/>
              <w:szCs w:val="24"/>
            </w:rPr>
            <w:t>9.2污染物排放监测结果</w:t>
          </w:r>
          <w:r>
            <w:tab/>
          </w:r>
          <w:r>
            <w:fldChar w:fldCharType="begin"/>
          </w:r>
          <w:r>
            <w:instrText xml:space="preserve"> PAGEREF _Toc17080 </w:instrText>
          </w:r>
          <w:r>
            <w:fldChar w:fldCharType="separate"/>
          </w:r>
          <w:r>
            <w:t>40</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_Toc27121 </w:instrText>
          </w:r>
          <w:r>
            <w:rPr>
              <w:rFonts w:ascii="Times New Roman" w:hAnsi="Times New Roman" w:eastAsia="宋体" w:cs="Times New Roman"/>
              <w:bCs/>
            </w:rPr>
            <w:fldChar w:fldCharType="separate"/>
          </w:r>
          <w:r>
            <w:rPr>
              <w:rFonts w:ascii="Times New Roman" w:hAnsi="Times New Roman" w:cs="Times New Roman"/>
              <w:bCs/>
            </w:rPr>
            <w:t>9.2.1废水监测结果及评价</w:t>
          </w:r>
          <w:r>
            <w:tab/>
          </w:r>
          <w:r>
            <w:fldChar w:fldCharType="begin"/>
          </w:r>
          <w:r>
            <w:instrText xml:space="preserve"> PAGEREF _Toc27121 </w:instrText>
          </w:r>
          <w:r>
            <w:fldChar w:fldCharType="separate"/>
          </w:r>
          <w:r>
            <w:t>40</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_Toc17593 </w:instrText>
          </w:r>
          <w:r>
            <w:rPr>
              <w:rFonts w:ascii="Times New Roman" w:hAnsi="Times New Roman" w:eastAsia="宋体" w:cs="Times New Roman"/>
              <w:bCs/>
            </w:rPr>
            <w:fldChar w:fldCharType="separate"/>
          </w:r>
          <w:r>
            <w:rPr>
              <w:rFonts w:ascii="Times New Roman" w:hAnsi="Times New Roman" w:cs="Times New Roman"/>
              <w:bCs/>
            </w:rPr>
            <w:t>9.2.2有组织废气监测结果及评价</w:t>
          </w:r>
          <w:r>
            <w:tab/>
          </w:r>
          <w:r>
            <w:fldChar w:fldCharType="begin"/>
          </w:r>
          <w:r>
            <w:instrText xml:space="preserve"> PAGEREF _Toc17593 </w:instrText>
          </w:r>
          <w:r>
            <w:fldChar w:fldCharType="separate"/>
          </w:r>
          <w:r>
            <w:t>42</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_Toc1524 </w:instrText>
          </w:r>
          <w:r>
            <w:rPr>
              <w:rFonts w:ascii="Times New Roman" w:hAnsi="Times New Roman" w:eastAsia="宋体" w:cs="Times New Roman"/>
              <w:bCs/>
            </w:rPr>
            <w:fldChar w:fldCharType="separate"/>
          </w:r>
          <w:r>
            <w:rPr>
              <w:rFonts w:ascii="Times New Roman" w:hAnsi="Times New Roman" w:cs="Times New Roman"/>
              <w:bCs/>
            </w:rPr>
            <w:t>9.2.3无组织废气监测结果及评价</w:t>
          </w:r>
          <w:r>
            <w:tab/>
          </w:r>
          <w:r>
            <w:fldChar w:fldCharType="begin"/>
          </w:r>
          <w:r>
            <w:instrText xml:space="preserve"> PAGEREF _Toc1524 </w:instrText>
          </w:r>
          <w:r>
            <w:fldChar w:fldCharType="separate"/>
          </w:r>
          <w:r>
            <w:t>48</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_Toc17591 </w:instrText>
          </w:r>
          <w:r>
            <w:rPr>
              <w:rFonts w:ascii="Times New Roman" w:hAnsi="Times New Roman" w:eastAsia="宋体" w:cs="Times New Roman"/>
              <w:bCs/>
            </w:rPr>
            <w:fldChar w:fldCharType="separate"/>
          </w:r>
          <w:r>
            <w:rPr>
              <w:rFonts w:ascii="Times New Roman" w:hAnsi="Times New Roman" w:cs="Times New Roman"/>
            </w:rPr>
            <w:t>9.2.4厂界噪声监测结果及评价</w:t>
          </w:r>
          <w:r>
            <w:tab/>
          </w:r>
          <w:r>
            <w:fldChar w:fldCharType="begin"/>
          </w:r>
          <w:r>
            <w:instrText xml:space="preserve"> PAGEREF _Toc17591 </w:instrText>
          </w:r>
          <w:r>
            <w:fldChar w:fldCharType="separate"/>
          </w:r>
          <w:r>
            <w:t>50</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_Toc23427 </w:instrText>
          </w:r>
          <w:r>
            <w:rPr>
              <w:rFonts w:ascii="Times New Roman" w:hAnsi="Times New Roman" w:eastAsia="宋体" w:cs="Times New Roman"/>
              <w:bCs/>
            </w:rPr>
            <w:fldChar w:fldCharType="separate"/>
          </w:r>
          <w:r>
            <w:rPr>
              <w:rFonts w:ascii="Times New Roman" w:hAnsi="Times New Roman" w:cs="Times New Roman"/>
            </w:rPr>
            <w:t>9.2.5总量控制考核情况</w:t>
          </w:r>
          <w:r>
            <w:tab/>
          </w:r>
          <w:r>
            <w:fldChar w:fldCharType="begin"/>
          </w:r>
          <w:r>
            <w:instrText xml:space="preserve"> PAGEREF _Toc23427 </w:instrText>
          </w:r>
          <w:r>
            <w:fldChar w:fldCharType="separate"/>
          </w:r>
          <w:r>
            <w:t>52</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_Toc20115 </w:instrText>
          </w:r>
          <w:r>
            <w:rPr>
              <w:rFonts w:ascii="Times New Roman" w:hAnsi="Times New Roman" w:eastAsia="宋体" w:cs="Times New Roman"/>
              <w:bCs/>
            </w:rPr>
            <w:fldChar w:fldCharType="separate"/>
          </w:r>
          <w:r>
            <w:rPr>
              <w:rFonts w:ascii="Times New Roman" w:hAnsi="Times New Roman" w:cs="Times New Roman"/>
            </w:rPr>
            <w:t>9.2.6环保设施去除效率监测结果</w:t>
          </w:r>
          <w:r>
            <w:tab/>
          </w:r>
          <w:r>
            <w:fldChar w:fldCharType="begin"/>
          </w:r>
          <w:r>
            <w:instrText xml:space="preserve"> PAGEREF _Toc20115 </w:instrText>
          </w:r>
          <w:r>
            <w:fldChar w:fldCharType="separate"/>
          </w:r>
          <w:r>
            <w:t>53</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_Toc31994 </w:instrText>
          </w:r>
          <w:r>
            <w:rPr>
              <w:rFonts w:ascii="Times New Roman" w:hAnsi="Times New Roman" w:eastAsia="宋体" w:cs="Times New Roman"/>
              <w:bCs/>
            </w:rPr>
            <w:fldChar w:fldCharType="separate"/>
          </w:r>
          <w:r>
            <w:rPr>
              <w:rFonts w:ascii="Times New Roman" w:hAnsi="Times New Roman" w:cs="Times New Roman"/>
              <w:szCs w:val="28"/>
            </w:rPr>
            <w:t>10</w:t>
          </w:r>
          <w:r>
            <w:rPr>
              <w:rFonts w:hint="eastAsia" w:ascii="Times New Roman" w:hAnsi="Times New Roman" w:cs="Times New Roman"/>
              <w:szCs w:val="28"/>
            </w:rPr>
            <w:t>.</w:t>
          </w:r>
          <w:r>
            <w:rPr>
              <w:rFonts w:ascii="Times New Roman" w:hAnsi="Times New Roman" w:cs="Times New Roman"/>
              <w:szCs w:val="28"/>
            </w:rPr>
            <w:t>环境管理检查</w:t>
          </w:r>
          <w:r>
            <w:tab/>
          </w:r>
          <w:r>
            <w:fldChar w:fldCharType="begin"/>
          </w:r>
          <w:r>
            <w:instrText xml:space="preserve"> PAGEREF _Toc31994 </w:instrText>
          </w:r>
          <w:r>
            <w:fldChar w:fldCharType="separate"/>
          </w:r>
          <w:r>
            <w:t>54</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_Toc4400 </w:instrText>
          </w:r>
          <w:r>
            <w:rPr>
              <w:rFonts w:ascii="Times New Roman" w:hAnsi="Times New Roman" w:eastAsia="宋体" w:cs="Times New Roman"/>
              <w:bCs/>
            </w:rPr>
            <w:fldChar w:fldCharType="separate"/>
          </w:r>
          <w:r>
            <w:rPr>
              <w:rFonts w:ascii="Times New Roman" w:hAnsi="Times New Roman" w:cs="Times New Roman"/>
              <w:szCs w:val="24"/>
            </w:rPr>
            <w:t>10.1环境管理检查</w:t>
          </w:r>
          <w:r>
            <w:tab/>
          </w:r>
          <w:r>
            <w:fldChar w:fldCharType="begin"/>
          </w:r>
          <w:r>
            <w:instrText xml:space="preserve"> PAGEREF _Toc4400 </w:instrText>
          </w:r>
          <w:r>
            <w:fldChar w:fldCharType="separate"/>
          </w:r>
          <w:r>
            <w:t>54</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_Toc5059 </w:instrText>
          </w:r>
          <w:r>
            <w:rPr>
              <w:rFonts w:ascii="Times New Roman" w:hAnsi="Times New Roman" w:eastAsia="宋体" w:cs="Times New Roman"/>
              <w:bCs/>
            </w:rPr>
            <w:fldChar w:fldCharType="separate"/>
          </w:r>
          <w:r>
            <w:rPr>
              <w:rFonts w:hint="eastAsia"/>
              <w:bCs/>
              <w:szCs w:val="24"/>
            </w:rPr>
            <w:t>10.2 批复执行情况</w:t>
          </w:r>
          <w:r>
            <w:tab/>
          </w:r>
          <w:r>
            <w:fldChar w:fldCharType="begin"/>
          </w:r>
          <w:r>
            <w:instrText xml:space="preserve"> PAGEREF _Toc5059 </w:instrText>
          </w:r>
          <w:r>
            <w:fldChar w:fldCharType="separate"/>
          </w:r>
          <w:r>
            <w:t>55</w:t>
          </w:r>
          <w:r>
            <w:fldChar w:fldCharType="end"/>
          </w:r>
          <w:r>
            <w:rPr>
              <w:rFonts w:ascii="Times New Roman" w:hAnsi="Times New Roman" w:eastAsia="宋体" w:cs="Times New Roman"/>
              <w:bCs/>
            </w:rPr>
            <w:fldChar w:fldCharType="end"/>
          </w:r>
        </w:p>
        <w:p>
          <w:pPr>
            <w:pStyle w:val="17"/>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_Toc13846 </w:instrText>
          </w:r>
          <w:r>
            <w:rPr>
              <w:rFonts w:ascii="Times New Roman" w:hAnsi="Times New Roman" w:eastAsia="宋体" w:cs="Times New Roman"/>
              <w:bCs/>
            </w:rPr>
            <w:fldChar w:fldCharType="separate"/>
          </w:r>
          <w:r>
            <w:rPr>
              <w:rFonts w:cs="Times New Roman"/>
              <w:bCs/>
              <w:szCs w:val="28"/>
            </w:rPr>
            <w:t xml:space="preserve">11. </w:t>
          </w:r>
          <w:r>
            <w:rPr>
              <w:rFonts w:hint="eastAsia" w:cs="Times New Roman"/>
              <w:bCs/>
              <w:szCs w:val="28"/>
            </w:rPr>
            <w:t>结论和建议</w:t>
          </w:r>
          <w:r>
            <w:tab/>
          </w:r>
          <w:r>
            <w:fldChar w:fldCharType="begin"/>
          </w:r>
          <w:r>
            <w:instrText xml:space="preserve"> PAGEREF _Toc13846 </w:instrText>
          </w:r>
          <w:r>
            <w:fldChar w:fldCharType="separate"/>
          </w:r>
          <w:r>
            <w:t>57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_Toc23015 </w:instrText>
          </w:r>
          <w:r>
            <w:rPr>
              <w:rFonts w:ascii="Times New Roman" w:hAnsi="Times New Roman" w:eastAsia="宋体" w:cs="Times New Roman"/>
              <w:bCs/>
            </w:rPr>
            <w:fldChar w:fldCharType="separate"/>
          </w:r>
          <w:r>
            <w:rPr>
              <w:rFonts w:ascii="Times New Roman" w:hAnsi="Times New Roman" w:eastAsia="宋体" w:cs="Times New Roman"/>
              <w:szCs w:val="28"/>
            </w:rPr>
            <w:t>11.1环保设施处理效率监测结果</w:t>
          </w:r>
          <w:r>
            <w:tab/>
          </w:r>
          <w:r>
            <w:fldChar w:fldCharType="begin"/>
          </w:r>
          <w:r>
            <w:instrText xml:space="preserve"> PAGEREF _Toc23015 </w:instrText>
          </w:r>
          <w:r>
            <w:fldChar w:fldCharType="separate"/>
          </w:r>
          <w:r>
            <w:t>57</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_Toc29516 </w:instrText>
          </w:r>
          <w:r>
            <w:rPr>
              <w:rFonts w:ascii="Times New Roman" w:hAnsi="Times New Roman" w:eastAsia="宋体" w:cs="Times New Roman"/>
              <w:bCs/>
            </w:rPr>
            <w:fldChar w:fldCharType="separate"/>
          </w:r>
          <w:r>
            <w:rPr>
              <w:rFonts w:ascii="Times New Roman" w:hAnsi="Times New Roman" w:eastAsia="宋体" w:cs="Times New Roman"/>
              <w:szCs w:val="28"/>
            </w:rPr>
            <w:t>11.</w:t>
          </w:r>
          <w:r>
            <w:rPr>
              <w:rFonts w:hint="eastAsia" w:ascii="Times New Roman" w:hAnsi="Times New Roman" w:eastAsia="宋体" w:cs="Times New Roman"/>
              <w:szCs w:val="28"/>
            </w:rPr>
            <w:t>2</w:t>
          </w:r>
          <w:r>
            <w:rPr>
              <w:rFonts w:ascii="Times New Roman" w:hAnsi="Times New Roman" w:eastAsia="宋体" w:cs="Times New Roman"/>
              <w:szCs w:val="28"/>
            </w:rPr>
            <w:t>污染物排放监测结果</w:t>
          </w:r>
          <w:r>
            <w:tab/>
          </w:r>
          <w:r>
            <w:fldChar w:fldCharType="begin"/>
          </w:r>
          <w:r>
            <w:instrText xml:space="preserve"> PAGEREF _Toc29516 </w:instrText>
          </w:r>
          <w:r>
            <w:fldChar w:fldCharType="separate"/>
          </w:r>
          <w:r>
            <w:t>57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_Toc26880 </w:instrText>
          </w:r>
          <w:r>
            <w:rPr>
              <w:rFonts w:ascii="Times New Roman" w:hAnsi="Times New Roman" w:eastAsia="宋体" w:cs="Times New Roman"/>
              <w:bCs/>
            </w:rPr>
            <w:fldChar w:fldCharType="separate"/>
          </w:r>
          <w:r>
            <w:rPr>
              <w:rFonts w:ascii="Times New Roman" w:hAnsi="Times New Roman" w:eastAsia="宋体" w:cs="Times New Roman"/>
              <w:bCs/>
            </w:rPr>
            <w:t>11.</w:t>
          </w:r>
          <w:r>
            <w:rPr>
              <w:rFonts w:hint="eastAsia" w:ascii="Times New Roman" w:hAnsi="Times New Roman" w:eastAsia="宋体" w:cs="Times New Roman"/>
              <w:bCs/>
            </w:rPr>
            <w:t>2</w:t>
          </w:r>
          <w:r>
            <w:rPr>
              <w:rFonts w:ascii="Times New Roman" w:hAnsi="Times New Roman" w:cs="Times New Roman"/>
              <w:bCs/>
            </w:rPr>
            <w:t>.1</w:t>
          </w:r>
          <w:r>
            <w:rPr>
              <w:rFonts w:ascii="Times New Roman" w:hAnsi="Times New Roman" w:cs="Times New Roman"/>
            </w:rPr>
            <w:t>废水</w:t>
          </w:r>
          <w:r>
            <w:tab/>
          </w:r>
          <w:r>
            <w:fldChar w:fldCharType="begin"/>
          </w:r>
          <w:r>
            <w:instrText xml:space="preserve"> PAGEREF _Toc26880 </w:instrText>
          </w:r>
          <w:r>
            <w:fldChar w:fldCharType="separate"/>
          </w:r>
          <w:r>
            <w:t>57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_Toc4329 </w:instrText>
          </w:r>
          <w:r>
            <w:rPr>
              <w:rFonts w:ascii="Times New Roman" w:hAnsi="Times New Roman" w:eastAsia="宋体" w:cs="Times New Roman"/>
              <w:bCs/>
            </w:rPr>
            <w:fldChar w:fldCharType="separate"/>
          </w:r>
          <w:r>
            <w:rPr>
              <w:rFonts w:ascii="Times New Roman" w:hAnsi="Times New Roman" w:eastAsia="宋体" w:cs="Times New Roman"/>
              <w:bCs/>
            </w:rPr>
            <w:t>11.</w:t>
          </w:r>
          <w:r>
            <w:rPr>
              <w:rFonts w:hint="eastAsia" w:ascii="Times New Roman" w:hAnsi="Times New Roman" w:eastAsia="宋体" w:cs="Times New Roman"/>
              <w:bCs/>
            </w:rPr>
            <w:t>2</w:t>
          </w:r>
          <w:r>
            <w:rPr>
              <w:rFonts w:ascii="Times New Roman" w:hAnsi="Times New Roman" w:eastAsia="宋体" w:cs="Times New Roman"/>
              <w:bCs/>
            </w:rPr>
            <w:t>.2废气</w:t>
          </w:r>
          <w:r>
            <w:tab/>
          </w:r>
          <w:r>
            <w:fldChar w:fldCharType="begin"/>
          </w:r>
          <w:r>
            <w:instrText xml:space="preserve"> PAGEREF _Toc4329 </w:instrText>
          </w:r>
          <w:r>
            <w:fldChar w:fldCharType="separate"/>
          </w:r>
          <w:r>
            <w:t>57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_Toc21008 </w:instrText>
          </w:r>
          <w:r>
            <w:rPr>
              <w:rFonts w:ascii="Times New Roman" w:hAnsi="Times New Roman" w:eastAsia="宋体" w:cs="Times New Roman"/>
              <w:bCs/>
            </w:rPr>
            <w:fldChar w:fldCharType="separate"/>
          </w:r>
          <w:r>
            <w:rPr>
              <w:rFonts w:ascii="Times New Roman" w:hAnsi="Times New Roman" w:cs="Times New Roman"/>
            </w:rPr>
            <w:t>11.</w:t>
          </w:r>
          <w:r>
            <w:rPr>
              <w:rFonts w:hint="eastAsia" w:ascii="Times New Roman" w:hAnsi="Times New Roman" w:cs="Times New Roman"/>
            </w:rPr>
            <w:t>2</w:t>
          </w:r>
          <w:r>
            <w:rPr>
              <w:rFonts w:ascii="Times New Roman" w:hAnsi="Times New Roman" w:cs="Times New Roman"/>
            </w:rPr>
            <w:t>.3噪声</w:t>
          </w:r>
          <w:r>
            <w:tab/>
          </w:r>
          <w:r>
            <w:fldChar w:fldCharType="begin"/>
          </w:r>
          <w:r>
            <w:instrText xml:space="preserve"> PAGEREF _Toc21008 </w:instrText>
          </w:r>
          <w:r>
            <w:fldChar w:fldCharType="separate"/>
          </w:r>
          <w:r>
            <w:t>57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_Toc10273 </w:instrText>
          </w:r>
          <w:r>
            <w:rPr>
              <w:rFonts w:ascii="Times New Roman" w:hAnsi="Times New Roman" w:eastAsia="宋体" w:cs="Times New Roman"/>
              <w:bCs/>
            </w:rPr>
            <w:fldChar w:fldCharType="separate"/>
          </w:r>
          <w:r>
            <w:rPr>
              <w:rFonts w:ascii="Times New Roman" w:hAnsi="Times New Roman" w:cs="Times New Roman"/>
            </w:rPr>
            <w:t>11.</w:t>
          </w:r>
          <w:r>
            <w:rPr>
              <w:rFonts w:hint="eastAsia" w:ascii="Times New Roman" w:hAnsi="Times New Roman" w:cs="Times New Roman"/>
            </w:rPr>
            <w:t>2</w:t>
          </w:r>
          <w:r>
            <w:rPr>
              <w:rFonts w:ascii="Times New Roman" w:hAnsi="Times New Roman" w:cs="Times New Roman"/>
            </w:rPr>
            <w:t>.4固体废物</w:t>
          </w:r>
          <w:r>
            <w:tab/>
          </w:r>
          <w:r>
            <w:fldChar w:fldCharType="begin"/>
          </w:r>
          <w:r>
            <w:instrText xml:space="preserve"> PAGEREF _Toc10273 </w:instrText>
          </w:r>
          <w:r>
            <w:fldChar w:fldCharType="separate"/>
          </w:r>
          <w:r>
            <w:t>57</w:t>
          </w:r>
          <w:r>
            <w:fldChar w:fldCharType="end"/>
          </w:r>
          <w:r>
            <w:rPr>
              <w:rFonts w:ascii="Times New Roman" w:hAnsi="Times New Roman" w:eastAsia="宋体" w:cs="Times New Roman"/>
              <w:bCs/>
            </w:rPr>
            <w:fldChar w:fldCharType="end"/>
          </w:r>
        </w:p>
        <w:p>
          <w:pPr>
            <w:pStyle w:val="12"/>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_Toc19660 </w:instrText>
          </w:r>
          <w:r>
            <w:rPr>
              <w:rFonts w:ascii="Times New Roman" w:hAnsi="Times New Roman" w:eastAsia="宋体" w:cs="Times New Roman"/>
              <w:bCs/>
            </w:rPr>
            <w:fldChar w:fldCharType="separate"/>
          </w:r>
          <w:r>
            <w:rPr>
              <w:rFonts w:ascii="Times New Roman" w:hAnsi="Times New Roman" w:cs="Times New Roman"/>
            </w:rPr>
            <w:t>11.</w:t>
          </w:r>
          <w:r>
            <w:rPr>
              <w:rFonts w:hint="eastAsia" w:ascii="Times New Roman" w:hAnsi="Times New Roman" w:cs="Times New Roman"/>
            </w:rPr>
            <w:t>2</w:t>
          </w:r>
          <w:r>
            <w:rPr>
              <w:rFonts w:ascii="Times New Roman" w:hAnsi="Times New Roman" w:cs="Times New Roman"/>
            </w:rPr>
            <w:t>.5总量控制情况</w:t>
          </w:r>
          <w:r>
            <w:tab/>
          </w:r>
          <w:r>
            <w:fldChar w:fldCharType="begin"/>
          </w:r>
          <w:r>
            <w:instrText xml:space="preserve"> PAGEREF _Toc19660 </w:instrText>
          </w:r>
          <w:r>
            <w:fldChar w:fldCharType="separate"/>
          </w:r>
          <w:r>
            <w:t>58</w:t>
          </w:r>
          <w:r>
            <w:fldChar w:fldCharType="end"/>
          </w:r>
          <w:r>
            <w:rPr>
              <w:rFonts w:ascii="Times New Roman" w:hAnsi="Times New Roman" w:eastAsia="宋体" w:cs="Times New Roman"/>
              <w:bCs/>
            </w:rPr>
            <w:fldChar w:fldCharType="end"/>
          </w:r>
        </w:p>
        <w:p>
          <w:pPr>
            <w:pStyle w:val="20"/>
            <w:tabs>
              <w:tab w:val="right" w:leader="dot" w:pos="8306"/>
            </w:tabs>
          </w:pPr>
          <w:r>
            <w:rPr>
              <w:rFonts w:ascii="Times New Roman" w:hAnsi="Times New Roman" w:eastAsia="宋体" w:cs="Times New Roman"/>
              <w:bCs/>
            </w:rPr>
            <w:fldChar w:fldCharType="begin"/>
          </w:r>
          <w:r>
            <w:rPr>
              <w:rFonts w:ascii="Times New Roman" w:hAnsi="Times New Roman" w:eastAsia="宋体" w:cs="Times New Roman"/>
              <w:bCs/>
            </w:rPr>
            <w:instrText xml:space="preserve"> HYPERLINK \l _Toc20450 </w:instrText>
          </w:r>
          <w:r>
            <w:rPr>
              <w:rFonts w:ascii="Times New Roman" w:hAnsi="Times New Roman" w:eastAsia="宋体" w:cs="Times New Roman"/>
              <w:bCs/>
            </w:rPr>
            <w:fldChar w:fldCharType="separate"/>
          </w:r>
          <w:r>
            <w:rPr>
              <w:rFonts w:ascii="Times New Roman" w:hAnsi="Times New Roman" w:cs="Times New Roman" w:eastAsiaTheme="minorEastAsia"/>
              <w:szCs w:val="24"/>
            </w:rPr>
            <w:t>11.</w:t>
          </w:r>
          <w:r>
            <w:rPr>
              <w:rFonts w:hint="eastAsia" w:ascii="Times New Roman" w:hAnsi="Times New Roman" w:cs="Times New Roman" w:eastAsiaTheme="minorEastAsia"/>
              <w:szCs w:val="24"/>
            </w:rPr>
            <w:t>3</w:t>
          </w:r>
          <w:r>
            <w:rPr>
              <w:rFonts w:ascii="Times New Roman" w:hAnsi="Times New Roman" w:cs="Times New Roman" w:eastAsiaTheme="minorEastAsia"/>
              <w:szCs w:val="24"/>
            </w:rPr>
            <w:t>建议</w:t>
          </w:r>
          <w:r>
            <w:tab/>
          </w:r>
          <w:r>
            <w:fldChar w:fldCharType="begin"/>
          </w:r>
          <w:r>
            <w:instrText xml:space="preserve"> PAGEREF _Toc20450 </w:instrText>
          </w:r>
          <w:r>
            <w:fldChar w:fldCharType="separate"/>
          </w:r>
          <w:r>
            <w:t>58</w:t>
          </w:r>
          <w:r>
            <w:fldChar w:fldCharType="end"/>
          </w:r>
          <w:r>
            <w:rPr>
              <w:rFonts w:ascii="Times New Roman" w:hAnsi="Times New Roman" w:eastAsia="宋体" w:cs="Times New Roman"/>
              <w:bCs/>
            </w:rPr>
            <w:fldChar w:fldCharType="end"/>
          </w:r>
        </w:p>
        <w:p>
          <w:pPr>
            <w:rPr>
              <w:rFonts w:hint="eastAsia" w:ascii="Times New Roman" w:hAnsi="Times New Roman" w:eastAsia="宋体" w:cs="Times New Roman"/>
              <w:bCs/>
              <w:sz w:val="28"/>
              <w:szCs w:val="28"/>
            </w:rPr>
          </w:pPr>
          <w:r>
            <w:rPr>
              <w:rFonts w:ascii="Times New Roman" w:hAnsi="Times New Roman" w:eastAsia="宋体" w:cs="Times New Roman"/>
              <w:bCs/>
            </w:rPr>
            <w:fldChar w:fldCharType="end"/>
          </w:r>
        </w:p>
      </w:sdtContent>
    </w:sdt>
    <w:p>
      <w:pPr>
        <w:sectPr>
          <w:headerReference r:id="rId3" w:type="default"/>
          <w:footerReference r:id="rId4" w:type="default"/>
          <w:pgSz w:w="11906" w:h="16838"/>
          <w:pgMar w:top="1440" w:right="1800" w:bottom="1440" w:left="1800" w:header="851" w:footer="992" w:gutter="0"/>
          <w:pgNumType w:fmt="upperRoman" w:start="1"/>
          <w:cols w:space="425" w:num="1"/>
          <w:docGrid w:type="lines" w:linePitch="312" w:charSpace="0"/>
        </w:sectPr>
      </w:pPr>
    </w:p>
    <w:p>
      <w:pPr>
        <w:pStyle w:val="9"/>
        <w:numPr>
          <w:ilvl w:val="0"/>
          <w:numId w:val="1"/>
        </w:numPr>
        <w:spacing w:line="360" w:lineRule="auto"/>
        <w:ind w:left="0"/>
        <w:outlineLvl w:val="0"/>
        <w:rPr>
          <w:rFonts w:ascii="Times New Roman" w:hAnsi="Times New Roman" w:eastAsia="宋体"/>
          <w:b/>
          <w:bCs/>
        </w:rPr>
      </w:pPr>
      <w:bookmarkStart w:id="0" w:name="_Toc20021_WPSOffice_Level1"/>
      <w:bookmarkStart w:id="1" w:name="_Toc8939"/>
      <w:r>
        <w:rPr>
          <w:rFonts w:hint="eastAsia" w:ascii="Times New Roman" w:hAnsi="Times New Roman" w:eastAsia="宋体"/>
          <w:b/>
          <w:bCs/>
        </w:rPr>
        <w:t>项目概况</w:t>
      </w:r>
      <w:bookmarkEnd w:id="0"/>
      <w:bookmarkEnd w:id="1"/>
    </w:p>
    <w:p>
      <w:pPr>
        <w:spacing w:line="500" w:lineRule="exact"/>
        <w:ind w:firstLine="561"/>
        <w:rPr>
          <w:rFonts w:ascii="Times New Roman" w:hAnsi="Times New Roman" w:cs="Times New Roman"/>
          <w:spacing w:val="-1"/>
          <w:sz w:val="24"/>
        </w:rPr>
      </w:pPr>
      <w:r>
        <w:rPr>
          <w:rFonts w:hint="eastAsia" w:ascii="Times New Roman" w:hAnsi="Times New Roman" w:cs="Times New Roman"/>
          <w:spacing w:val="-1"/>
          <w:sz w:val="24"/>
        </w:rPr>
        <w:t>上海凤凰自行车有限公司源于1897年中国第一家自行车车行同昌车行，1959年1月创建了"凤凰"品牌。上海凤凰拥有百年自行车制造经验，建成集自行车、电动车、童车以及轮椅车等产品生产研发销售为一体的大型两轮车制造企业，以高品质赢得了广阔市场。</w:t>
      </w:r>
    </w:p>
    <w:p>
      <w:pPr>
        <w:spacing w:line="500" w:lineRule="exact"/>
        <w:ind w:firstLine="561"/>
        <w:rPr>
          <w:rFonts w:ascii="Times New Roman" w:hAnsi="Times New Roman" w:cs="Times New Roman"/>
          <w:spacing w:val="-1"/>
          <w:sz w:val="24"/>
        </w:rPr>
      </w:pPr>
      <w:r>
        <w:rPr>
          <w:rFonts w:hint="eastAsia" w:ascii="Times New Roman" w:hAnsi="Times New Roman" w:cs="Times New Roman"/>
          <w:spacing w:val="-1"/>
          <w:sz w:val="24"/>
        </w:rPr>
        <w:t>随着经济的发展，人民生活水平的提高，自行车骑行作为一种环保、健康的交通方式愈加深入人心，目前我国自行车生产厂家有880多家，年产自行车7000万辆，其中出口6000万辆，在当前的经济形势下，市场对于自行车的需求持续平稳增长。</w:t>
      </w:r>
    </w:p>
    <w:p>
      <w:pPr>
        <w:spacing w:line="500" w:lineRule="exact"/>
        <w:ind w:firstLine="561"/>
        <w:rPr>
          <w:rFonts w:ascii="Times New Roman" w:hAnsi="Times New Roman" w:cs="Times New Roman"/>
          <w:spacing w:val="-1"/>
          <w:sz w:val="24"/>
        </w:rPr>
      </w:pPr>
      <w:r>
        <w:rPr>
          <w:rFonts w:hint="eastAsia" w:ascii="Times New Roman" w:hAnsi="Times New Roman" w:cs="Times New Roman"/>
          <w:spacing w:val="-1"/>
          <w:sz w:val="24"/>
        </w:rPr>
        <w:t>为满足自行车不断增长的需求量，美乐集团与上海凤凰自行车有限公司共同出资在江苏丹阳成立上海凤凰自行车江苏有限公司，租用位于丹阳市司徒镇观鹤路1号美乐集团的闲置厂房，</w:t>
      </w:r>
      <w:r>
        <w:rPr>
          <w:rFonts w:hint="eastAsia" w:ascii="Times New Roman" w:hAnsi="Times New Roman" w:cs="Times New Roman"/>
          <w:spacing w:val="-1"/>
          <w:sz w:val="24"/>
          <w:lang w:eastAsia="zh-CN"/>
        </w:rPr>
        <w:t>拟</w:t>
      </w:r>
      <w:r>
        <w:rPr>
          <w:rFonts w:hint="eastAsia" w:ascii="Times New Roman" w:hAnsi="Times New Roman" w:cs="Times New Roman"/>
          <w:spacing w:val="-1"/>
          <w:sz w:val="24"/>
        </w:rPr>
        <w:t>投资1200万元，建设年产40万辆自行车生产线项目。</w:t>
      </w:r>
    </w:p>
    <w:p>
      <w:pPr>
        <w:pStyle w:val="9"/>
        <w:spacing w:line="360" w:lineRule="auto"/>
        <w:ind w:left="0" w:firstLine="476" w:firstLineChars="200"/>
        <w:rPr>
          <w:rFonts w:ascii="Times New Roman" w:hAnsi="Times New Roman" w:cs="Times New Roman" w:eastAsiaTheme="minorEastAsia"/>
          <w:spacing w:val="-1"/>
          <w:sz w:val="24"/>
          <w:szCs w:val="24"/>
        </w:rPr>
      </w:pPr>
      <w:r>
        <w:rPr>
          <w:rFonts w:hint="eastAsia" w:ascii="Times New Roman" w:hAnsi="Times New Roman" w:cs="Times New Roman" w:eastAsiaTheme="minorEastAsia"/>
          <w:spacing w:val="-1"/>
          <w:sz w:val="24"/>
          <w:szCs w:val="24"/>
        </w:rPr>
        <w:t>上海凤凰自行车江苏有限公司于2016年12月委托南京大学环境规划设计研究院有限公司编制了《上海凤凰自行车江苏有限公司年产40万辆自行车生产线项目环境影响报告书》，本项目</w:t>
      </w:r>
      <w:r>
        <w:rPr>
          <w:rFonts w:ascii="Times New Roman" w:hAnsi="Times New Roman" w:cs="Times New Roman" w:eastAsiaTheme="minorEastAsia"/>
          <w:spacing w:val="-1"/>
          <w:sz w:val="24"/>
          <w:szCs w:val="24"/>
        </w:rPr>
        <w:t>于2017年2月27日获得丹阳市环境保护局的环评批复（</w:t>
      </w:r>
      <w:r>
        <w:rPr>
          <w:rFonts w:ascii="Times New Roman" w:hAnsi="Times New Roman" w:cs="Times New Roman" w:eastAsiaTheme="minorEastAsia"/>
          <w:sz w:val="24"/>
          <w:szCs w:val="24"/>
        </w:rPr>
        <w:t>丹环审〔2017〕25号</w:t>
      </w:r>
      <w:r>
        <w:rPr>
          <w:rFonts w:ascii="Times New Roman" w:hAnsi="Times New Roman" w:cs="Times New Roman" w:eastAsiaTheme="minorEastAsia"/>
          <w:spacing w:val="-1"/>
          <w:sz w:val="24"/>
          <w:szCs w:val="24"/>
        </w:rPr>
        <w:t>）。</w:t>
      </w:r>
    </w:p>
    <w:p>
      <w:pPr>
        <w:pStyle w:val="9"/>
        <w:spacing w:line="360" w:lineRule="auto"/>
        <w:ind w:left="0" w:firstLine="476" w:firstLineChars="200"/>
        <w:rPr>
          <w:rFonts w:ascii="Times New Roman" w:hAnsi="Times New Roman" w:cs="Times New Roman" w:eastAsiaTheme="minorEastAsia"/>
          <w:spacing w:val="-1"/>
          <w:sz w:val="24"/>
          <w:szCs w:val="24"/>
        </w:rPr>
      </w:pPr>
      <w:r>
        <w:rPr>
          <w:rFonts w:hint="eastAsia" w:ascii="Times New Roman" w:hAnsi="Times New Roman" w:cs="Times New Roman" w:eastAsiaTheme="minorEastAsia"/>
          <w:spacing w:val="-1"/>
          <w:sz w:val="24"/>
          <w:szCs w:val="24"/>
        </w:rPr>
        <w:t>根据国家环保部第13号令《建设项目竣工环境保护验收管理办法》等文件的要求，受上海凤凰自行车江苏有限公司的委托，2019年3月，南京万全检测技术有限公司的专业技术人员对该项目废气、废水、噪声、固体废弃物等污染源排放现状和各类环保设施的处理能力进行了现场勘察</w:t>
      </w:r>
      <w:r>
        <w:rPr>
          <w:rFonts w:hint="eastAsia" w:ascii="Times New Roman" w:hAnsi="Times New Roman" w:cs="Times New Roman" w:eastAsiaTheme="minorEastAsia"/>
          <w:spacing w:val="-1"/>
          <w:sz w:val="24"/>
          <w:szCs w:val="24"/>
          <w:lang w:eastAsia="zh-CN"/>
        </w:rPr>
        <w:t>；</w:t>
      </w:r>
      <w:r>
        <w:rPr>
          <w:rFonts w:hint="eastAsia" w:ascii="Times New Roman" w:hAnsi="Times New Roman" w:cs="Times New Roman" w:eastAsiaTheme="minorEastAsia"/>
          <w:spacing w:val="-1"/>
          <w:sz w:val="24"/>
          <w:szCs w:val="24"/>
        </w:rPr>
        <w:t>该项目各类设施运行稳定，生产负荷达到设计能力75%以上，具备了“三同时”验收监测条件。南京万全检测技术有限公司于2019年3月21日、3月22日对该项目进行了验</w:t>
      </w:r>
      <w:r>
        <w:rPr>
          <w:rFonts w:hint="eastAsia" w:ascii="Times New Roman" w:hAnsi="Times New Roman" w:eastAsia="宋体"/>
          <w:color w:val="000000" w:themeColor="text1"/>
          <w:kern w:val="0"/>
          <w:sz w:val="24"/>
          <w:szCs w:val="24"/>
          <w14:textFill>
            <w14:solidFill>
              <w14:schemeClr w14:val="tx1"/>
            </w14:solidFill>
          </w14:textFill>
        </w:rPr>
        <w:t>收</w:t>
      </w:r>
      <w:r>
        <w:rPr>
          <w:rFonts w:hint="eastAsia" w:ascii="Times New Roman" w:hAnsi="Times New Roman" w:cs="Times New Roman" w:eastAsiaTheme="minorEastAsia"/>
          <w:spacing w:val="-1"/>
          <w:sz w:val="24"/>
          <w:szCs w:val="24"/>
        </w:rPr>
        <w:t>监测，在验收监测结果和环境管理检查情况的基础上，编制了本竣工验收监测报告，为该项目的验收及环境管理提供科学依据。</w:t>
      </w:r>
    </w:p>
    <w:p>
      <w:pPr>
        <w:pStyle w:val="9"/>
        <w:spacing w:line="360" w:lineRule="auto"/>
        <w:ind w:left="0"/>
        <w:rPr>
          <w:rFonts w:ascii="Times New Roman" w:hAnsi="Times New Roman" w:cs="Times New Roman" w:eastAsiaTheme="minorEastAsia"/>
          <w:b/>
          <w:bCs/>
          <w:sz w:val="24"/>
          <w:szCs w:val="24"/>
        </w:rPr>
      </w:pPr>
      <w:bookmarkStart w:id="2" w:name="_Toc25051_WPSOffice_Level1"/>
    </w:p>
    <w:p>
      <w:pPr>
        <w:pStyle w:val="9"/>
        <w:spacing w:line="360" w:lineRule="auto"/>
        <w:ind w:left="0"/>
        <w:rPr>
          <w:rFonts w:ascii="Times New Roman" w:hAnsi="Times New Roman" w:cs="Times New Roman" w:eastAsiaTheme="minorEastAsia"/>
          <w:b/>
          <w:bCs/>
          <w:sz w:val="24"/>
          <w:szCs w:val="24"/>
        </w:rPr>
      </w:pPr>
    </w:p>
    <w:p>
      <w:pPr>
        <w:pStyle w:val="9"/>
        <w:spacing w:line="360" w:lineRule="auto"/>
        <w:ind w:left="0"/>
        <w:rPr>
          <w:rFonts w:ascii="Times New Roman" w:hAnsi="Times New Roman" w:cs="Times New Roman" w:eastAsiaTheme="minorEastAsia"/>
          <w:b/>
          <w:bCs/>
          <w:sz w:val="24"/>
          <w:szCs w:val="24"/>
        </w:rPr>
      </w:pPr>
    </w:p>
    <w:p>
      <w:pPr>
        <w:adjustRightInd w:val="0"/>
        <w:snapToGrid w:val="0"/>
        <w:rPr>
          <w:rFonts w:ascii="Times New Roman" w:hAnsi="Times New Roman" w:cs="Times New Roman"/>
          <w:b/>
          <w:color w:val="000000"/>
          <w:sz w:val="24"/>
        </w:rPr>
      </w:pPr>
    </w:p>
    <w:p>
      <w:pPr>
        <w:pStyle w:val="7"/>
        <w:bidi w:val="0"/>
        <w:rPr>
          <w:rFonts w:ascii="Times New Roman" w:hAnsi="Times New Roman" w:cs="Times New Roman"/>
          <w:b/>
          <w:color w:val="000000"/>
          <w:szCs w:val="21"/>
        </w:rPr>
      </w:pPr>
      <w:r>
        <w:rPr>
          <w:rFonts w:hint="eastAsia"/>
          <w:lang w:val="en-US" w:eastAsia="zh-CN"/>
        </w:rPr>
        <w:t xml:space="preserve">             </w:t>
      </w:r>
      <w:r>
        <w:t>表</w:t>
      </w:r>
      <w:r>
        <w:fldChar w:fldCharType="begin"/>
      </w:r>
      <w:r>
        <w:instrText xml:space="preserve"> SEQ 表 \* ARABIC </w:instrText>
      </w:r>
      <w:r>
        <w:fldChar w:fldCharType="separate"/>
      </w:r>
      <w:r>
        <w:t>1</w:t>
      </w:r>
      <w:r>
        <w:fldChar w:fldCharType="end"/>
      </w:r>
      <w:bookmarkStart w:id="3" w:name="_Toc29018"/>
      <w:bookmarkStart w:id="4" w:name="_Toc29169"/>
      <w:r>
        <w:rPr>
          <w:rFonts w:hint="eastAsia"/>
          <w:lang w:eastAsia="zh-CN"/>
        </w:rPr>
        <w:t xml:space="preserve">-1 </w:t>
      </w:r>
      <w:r>
        <w:rPr>
          <w:rFonts w:hint="eastAsia"/>
          <w:lang w:val="en-US" w:eastAsia="zh-CN"/>
        </w:rPr>
        <w:t xml:space="preserve"> </w:t>
      </w:r>
      <w:r>
        <w:rPr>
          <w:rFonts w:hint="eastAsia"/>
          <w:lang w:eastAsia="zh-CN"/>
        </w:rPr>
        <w:t>项目建设情况表</w:t>
      </w:r>
      <w:bookmarkEnd w:id="3"/>
      <w:bookmarkEnd w:id="4"/>
    </w:p>
    <w:tbl>
      <w:tblPr>
        <w:tblStyle w:val="23"/>
        <w:tblW w:w="9477" w:type="dxa"/>
        <w:jc w:val="center"/>
        <w:tblInd w:w="-741"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07"/>
        <w:gridCol w:w="1218"/>
        <w:gridCol w:w="7752"/>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序号</w:t>
            </w:r>
          </w:p>
        </w:tc>
        <w:tc>
          <w:tcPr>
            <w:tcW w:w="1218" w:type="dxa"/>
            <w:tcBorders>
              <w:tl2br w:val="nil"/>
              <w:tr2bl w:val="nil"/>
            </w:tcBorders>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项目</w:t>
            </w:r>
          </w:p>
        </w:tc>
        <w:tc>
          <w:tcPr>
            <w:tcW w:w="7752" w:type="dxa"/>
            <w:tcBorders>
              <w:tl2br w:val="nil"/>
              <w:tr2bl w:val="nil"/>
            </w:tcBorders>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执行情况</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3"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218" w:type="dxa"/>
            <w:tcBorders>
              <w:tl2br w:val="nil"/>
              <w:tr2bl w:val="nil"/>
            </w:tcBorders>
            <w:vAlign w:val="center"/>
          </w:tcPr>
          <w:p>
            <w:pPr>
              <w:adjustRightInd w:val="0"/>
              <w:snapToGrid w:val="0"/>
              <w:jc w:val="center"/>
              <w:rPr>
                <w:rFonts w:ascii="Times New Roman" w:hAnsi="Times New Roman" w:eastAsia="宋体" w:cs="Times New Roman"/>
                <w:szCs w:val="21"/>
              </w:rPr>
            </w:pPr>
            <w:r>
              <w:rPr>
                <w:rFonts w:ascii="Times New Roman" w:hAnsi="Times New Roman" w:cs="Times New Roman"/>
                <w:szCs w:val="21"/>
              </w:rPr>
              <w:t>备案</w:t>
            </w:r>
          </w:p>
        </w:tc>
        <w:tc>
          <w:tcPr>
            <w:tcW w:w="7752" w:type="dxa"/>
            <w:tcBorders>
              <w:tl2br w:val="nil"/>
              <w:tr2bl w:val="nil"/>
            </w:tcBorders>
            <w:vAlign w:val="center"/>
          </w:tcPr>
          <w:p>
            <w:pPr>
              <w:adjustRightInd w:val="0"/>
              <w:snapToGrid w:val="0"/>
              <w:jc w:val="both"/>
              <w:rPr>
                <w:rFonts w:ascii="Times New Roman" w:hAnsi="Times New Roman" w:cs="Times New Roman"/>
                <w:szCs w:val="21"/>
              </w:rPr>
            </w:pPr>
            <w:r>
              <w:rPr>
                <w:rFonts w:hint="eastAsia" w:ascii="Times New Roman" w:hAnsi="Times New Roman" w:cs="Times New Roman"/>
                <w:szCs w:val="21"/>
              </w:rPr>
              <w:t>《关于上海凤凰自行车江苏有限公司年产40万辆自行车生产线备案通知书》（丹阳市司徒镇人民政府，司政经备发</w:t>
            </w:r>
            <w:r>
              <w:rPr>
                <w:rFonts w:hint="eastAsia" w:ascii="宋体" w:hAnsi="宋体" w:eastAsia="宋体" w:cs="宋体"/>
                <w:szCs w:val="21"/>
              </w:rPr>
              <w:t>﹝</w:t>
            </w:r>
            <w:r>
              <w:rPr>
                <w:rFonts w:ascii="Times New Roman" w:hAnsi="Times New Roman" w:eastAsia="宋体" w:cs="Times New Roman"/>
                <w:szCs w:val="21"/>
              </w:rPr>
              <w:t>2015</w:t>
            </w:r>
            <w:r>
              <w:rPr>
                <w:rFonts w:hint="eastAsia" w:ascii="宋体" w:hAnsi="宋体" w:eastAsia="宋体" w:cs="宋体"/>
                <w:szCs w:val="21"/>
              </w:rPr>
              <w:t>﹞</w:t>
            </w:r>
            <w:r>
              <w:rPr>
                <w:rFonts w:hint="eastAsia" w:ascii="Times New Roman" w:hAnsi="Times New Roman" w:cs="Times New Roman"/>
                <w:szCs w:val="21"/>
              </w:rPr>
              <w:t>48号）</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81"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218"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环评</w:t>
            </w:r>
          </w:p>
        </w:tc>
        <w:tc>
          <w:tcPr>
            <w:tcW w:w="7752"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w:t>
            </w:r>
            <w:r>
              <w:rPr>
                <w:rFonts w:hint="eastAsia" w:ascii="Times New Roman" w:hAnsi="Times New Roman" w:cs="Times New Roman"/>
                <w:szCs w:val="21"/>
              </w:rPr>
              <w:t>上海凤凰自行车江苏有限公司年产40万辆自行车生产线项目</w:t>
            </w:r>
            <w:r>
              <w:rPr>
                <w:rFonts w:ascii="Times New Roman" w:hAnsi="Times New Roman" w:cs="Times New Roman"/>
                <w:szCs w:val="21"/>
              </w:rPr>
              <w:t>环境影响报告书》（</w:t>
            </w:r>
            <w:r>
              <w:rPr>
                <w:rFonts w:hint="eastAsia" w:ascii="Times New Roman" w:hAnsi="Times New Roman" w:cs="Times New Roman"/>
                <w:szCs w:val="21"/>
              </w:rPr>
              <w:t>南京大学环境规划设计研究院有限公司</w:t>
            </w:r>
            <w:r>
              <w:rPr>
                <w:rFonts w:ascii="Times New Roman" w:hAnsi="Times New Roman" w:cs="Times New Roman"/>
                <w:szCs w:val="21"/>
              </w:rPr>
              <w:t>，</w:t>
            </w:r>
            <w:r>
              <w:rPr>
                <w:rFonts w:hint="eastAsia" w:ascii="Times New Roman" w:hAnsi="Times New Roman" w:cs="Times New Roman"/>
                <w:szCs w:val="21"/>
              </w:rPr>
              <w:t>2016</w:t>
            </w:r>
            <w:r>
              <w:rPr>
                <w:rFonts w:ascii="Times New Roman" w:hAnsi="Times New Roman" w:cs="Times New Roman"/>
                <w:szCs w:val="21"/>
              </w:rPr>
              <w:t>年</w:t>
            </w:r>
            <w:r>
              <w:rPr>
                <w:rFonts w:hint="eastAsia" w:ascii="Times New Roman" w:hAnsi="Times New Roman" w:cs="Times New Roman"/>
                <w:szCs w:val="21"/>
              </w:rPr>
              <w:t>12月</w:t>
            </w:r>
            <w:r>
              <w:rPr>
                <w:rFonts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81"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218"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环评批复</w:t>
            </w:r>
          </w:p>
        </w:tc>
        <w:tc>
          <w:tcPr>
            <w:tcW w:w="7752"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《关于对</w:t>
            </w:r>
            <w:r>
              <w:rPr>
                <w:rFonts w:hint="eastAsia" w:ascii="Times New Roman" w:hAnsi="Times New Roman" w:cs="Times New Roman"/>
                <w:szCs w:val="21"/>
              </w:rPr>
              <w:t>上海凤凰自行车江苏有限公司年产40万辆自行车生产线</w:t>
            </w:r>
            <w:r>
              <w:rPr>
                <w:rFonts w:ascii="Times New Roman" w:hAnsi="Times New Roman" w:cs="Times New Roman"/>
                <w:szCs w:val="21"/>
              </w:rPr>
              <w:t>项目环境影响报告书的</w:t>
            </w:r>
            <w:r>
              <w:rPr>
                <w:rFonts w:hint="eastAsia" w:ascii="Times New Roman" w:hAnsi="Times New Roman" w:cs="Times New Roman"/>
                <w:szCs w:val="21"/>
              </w:rPr>
              <w:t>审批意见</w:t>
            </w:r>
            <w:r>
              <w:rPr>
                <w:rFonts w:ascii="Times New Roman" w:hAnsi="Times New Roman" w:cs="Times New Roman"/>
                <w:szCs w:val="21"/>
              </w:rPr>
              <w:t>》（</w:t>
            </w:r>
            <w:r>
              <w:rPr>
                <w:rFonts w:hint="eastAsia" w:ascii="Times New Roman" w:hAnsi="Times New Roman" w:cs="Times New Roman"/>
                <w:szCs w:val="21"/>
              </w:rPr>
              <w:t>丹阳市环境保护局</w:t>
            </w:r>
            <w:r>
              <w:rPr>
                <w:rFonts w:ascii="Times New Roman" w:hAnsi="Times New Roman" w:cs="Times New Roman"/>
                <w:szCs w:val="21"/>
              </w:rPr>
              <w:t>，</w:t>
            </w:r>
            <w:r>
              <w:rPr>
                <w:rFonts w:hint="eastAsia" w:ascii="Times New Roman" w:hAnsi="Times New Roman" w:cs="Times New Roman"/>
                <w:szCs w:val="21"/>
              </w:rPr>
              <w:t>丹</w:t>
            </w:r>
            <w:r>
              <w:rPr>
                <w:rFonts w:ascii="Times New Roman" w:hAnsi="Times New Roman" w:cs="Times New Roman"/>
                <w:szCs w:val="21"/>
              </w:rPr>
              <w:t>环审</w:t>
            </w:r>
            <w:r>
              <w:rPr>
                <w:rFonts w:hint="eastAsia" w:ascii="宋体" w:hAnsi="宋体" w:eastAsia="宋体" w:cs="宋体"/>
                <w:szCs w:val="21"/>
              </w:rPr>
              <w:t>﹝</w:t>
            </w:r>
            <w:r>
              <w:rPr>
                <w:rFonts w:hint="eastAsia" w:ascii="Times New Roman" w:hAnsi="Times New Roman" w:eastAsia="宋体" w:cs="Times New Roman"/>
                <w:szCs w:val="21"/>
              </w:rPr>
              <w:t>2017</w:t>
            </w:r>
            <w:r>
              <w:rPr>
                <w:rFonts w:hint="eastAsia" w:ascii="宋体" w:hAnsi="宋体" w:eastAsia="宋体" w:cs="宋体"/>
                <w:szCs w:val="21"/>
              </w:rPr>
              <w:t>﹞</w:t>
            </w:r>
            <w:r>
              <w:rPr>
                <w:rFonts w:ascii="Times New Roman" w:hAnsi="Times New Roman" w:cs="Times New Roman"/>
                <w:szCs w:val="21"/>
              </w:rPr>
              <w:t>2</w:t>
            </w:r>
            <w:r>
              <w:rPr>
                <w:rFonts w:hint="eastAsia" w:ascii="Times New Roman" w:hAnsi="Times New Roman" w:cs="Times New Roman"/>
                <w:szCs w:val="21"/>
              </w:rPr>
              <w:t>5</w:t>
            </w:r>
            <w:r>
              <w:rPr>
                <w:rFonts w:ascii="Times New Roman" w:hAnsi="Times New Roman" w:cs="Times New Roman"/>
                <w:szCs w:val="21"/>
              </w:rPr>
              <w:t>号，201</w:t>
            </w:r>
            <w:r>
              <w:rPr>
                <w:rFonts w:hint="eastAsia" w:ascii="Times New Roman" w:hAnsi="Times New Roman" w:cs="Times New Roman"/>
                <w:szCs w:val="21"/>
              </w:rPr>
              <w:t>7</w:t>
            </w:r>
            <w:r>
              <w:rPr>
                <w:rFonts w:ascii="Times New Roman" w:hAnsi="Times New Roman" w:cs="Times New Roman"/>
                <w:szCs w:val="21"/>
              </w:rPr>
              <w:t>年2月</w:t>
            </w:r>
            <w:r>
              <w:rPr>
                <w:rFonts w:hint="eastAsia" w:ascii="Times New Roman" w:hAnsi="Times New Roman" w:cs="Times New Roman"/>
                <w:szCs w:val="21"/>
              </w:rPr>
              <w:t>27</w:t>
            </w:r>
            <w:r>
              <w:rPr>
                <w:rFonts w:ascii="Times New Roman" w:hAnsi="Times New Roman" w:cs="Times New Roman"/>
                <w:szCs w:val="21"/>
              </w:rPr>
              <w:t>日）</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6"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w:t>
            </w:r>
          </w:p>
        </w:tc>
        <w:tc>
          <w:tcPr>
            <w:tcW w:w="1218"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验收项目建设规模</w:t>
            </w:r>
          </w:p>
        </w:tc>
        <w:tc>
          <w:tcPr>
            <w:tcW w:w="7752"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left"/>
              <w:textAlignment w:val="auto"/>
              <w:outlineLvl w:val="9"/>
              <w:rPr>
                <w:rFonts w:hint="eastAsia" w:eastAsia="宋体"/>
                <w:lang w:eastAsia="zh-CN"/>
              </w:rPr>
            </w:pPr>
            <w:r>
              <w:rPr>
                <w:rFonts w:hint="eastAsia" w:asciiTheme="minorHAnsi" w:hAnsiTheme="minorHAnsi" w:eastAsiaTheme="minorEastAsia" w:cstheme="minorBidi"/>
                <w:b w:val="0"/>
                <w:kern w:val="2"/>
                <w:sz w:val="21"/>
                <w:szCs w:val="24"/>
                <w:lang w:val="en-US" w:eastAsia="zh-CN" w:bidi="ar-SA"/>
              </w:rPr>
              <w:t>年产40万辆自行车生产线项目（一期）；由于表面前处理工艺中湿法表面处理及配套燃气锅炉等已建成未投运，后期纳入二期验收范围。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13"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5</w:t>
            </w:r>
          </w:p>
        </w:tc>
        <w:tc>
          <w:tcPr>
            <w:tcW w:w="1218" w:type="dxa"/>
            <w:tcBorders>
              <w:tl2br w:val="nil"/>
              <w:tr2bl w:val="nil"/>
            </w:tcBorders>
            <w:vAlign w:val="center"/>
          </w:tcPr>
          <w:p>
            <w:pPr>
              <w:adjustRightInd w:val="0"/>
              <w:snapToGrid w:val="0"/>
              <w:ind w:right="-57" w:rightChars="-27"/>
              <w:jc w:val="center"/>
              <w:rPr>
                <w:rFonts w:ascii="Times New Roman" w:hAnsi="Times New Roman" w:cs="Times New Roman"/>
                <w:szCs w:val="21"/>
              </w:rPr>
            </w:pPr>
            <w:r>
              <w:rPr>
                <w:rFonts w:ascii="Times New Roman" w:hAnsi="Times New Roman" w:cs="Times New Roman"/>
                <w:szCs w:val="21"/>
              </w:rPr>
              <w:t>项目开工及竣工时间</w:t>
            </w:r>
          </w:p>
        </w:tc>
        <w:tc>
          <w:tcPr>
            <w:tcW w:w="7752" w:type="dxa"/>
            <w:tcBorders>
              <w:tl2br w:val="nil"/>
              <w:tr2bl w:val="nil"/>
            </w:tcBorders>
            <w:vAlign w:val="center"/>
          </w:tcPr>
          <w:p>
            <w:pPr>
              <w:pageBreakBefore w:val="0"/>
              <w:widowControl w:val="0"/>
              <w:kinsoku/>
              <w:wordWrap/>
              <w:overflowPunct/>
              <w:topLinePunct w:val="0"/>
              <w:autoSpaceDE/>
              <w:autoSpaceDN/>
              <w:bidi w:val="0"/>
              <w:adjustRightInd w:val="0"/>
              <w:snapToGrid w:val="0"/>
              <w:jc w:val="center"/>
              <w:textAlignment w:val="auto"/>
              <w:outlineLvl w:val="9"/>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开工时间：2017年3月</w:t>
            </w:r>
          </w:p>
          <w:p>
            <w:pPr>
              <w:pageBreakBefore w:val="0"/>
              <w:widowControl w:val="0"/>
              <w:kinsoku/>
              <w:wordWrap/>
              <w:overflowPunct/>
              <w:topLinePunct w:val="0"/>
              <w:autoSpaceDE/>
              <w:autoSpaceDN/>
              <w:bidi w:val="0"/>
              <w:jc w:val="center"/>
              <w:textAlignment w:val="auto"/>
              <w:outlineLvl w:val="9"/>
              <w:rPr>
                <w:szCs w:val="21"/>
              </w:rPr>
            </w:pPr>
            <w:bookmarkStart w:id="5" w:name="_Toc14909"/>
            <w:r>
              <w:rPr>
                <w:rFonts w:hint="default" w:ascii="Times New Roman" w:hAnsi="Times New Roman" w:cs="Times New Roman" w:eastAsiaTheme="minorEastAsia"/>
                <w:b w:val="0"/>
                <w:szCs w:val="21"/>
              </w:rPr>
              <w:t>竣工时间：2017年7月</w:t>
            </w:r>
            <w:bookmarkEnd w:id="5"/>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18"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6</w:t>
            </w:r>
          </w:p>
        </w:tc>
        <w:tc>
          <w:tcPr>
            <w:tcW w:w="1218"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项目调试时间</w:t>
            </w:r>
          </w:p>
        </w:tc>
        <w:tc>
          <w:tcPr>
            <w:tcW w:w="7752" w:type="dxa"/>
            <w:tcBorders>
              <w:tl2br w:val="nil"/>
              <w:tr2bl w:val="nil"/>
            </w:tcBorders>
            <w:vAlign w:val="center"/>
          </w:tcPr>
          <w:p>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81" w:hRule="atLeast"/>
          <w:jc w:val="center"/>
        </w:trPr>
        <w:tc>
          <w:tcPr>
            <w:tcW w:w="5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7</w:t>
            </w:r>
          </w:p>
        </w:tc>
        <w:tc>
          <w:tcPr>
            <w:tcW w:w="1218"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工程实际建设情况</w:t>
            </w:r>
          </w:p>
        </w:tc>
        <w:tc>
          <w:tcPr>
            <w:tcW w:w="7752"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项目主体工程及环保治理设施已正常投入运行。</w:t>
            </w:r>
          </w:p>
        </w:tc>
      </w:tr>
    </w:tbl>
    <w:p>
      <w:pPr>
        <w:widowControl/>
        <w:spacing w:line="360" w:lineRule="auto"/>
        <w:outlineLvl w:val="1"/>
        <w:rPr>
          <w:rFonts w:ascii="Times New Roman" w:hAnsi="Times New Roman" w:eastAsia="宋体" w:cs="Times New Roman"/>
          <w:b/>
          <w:sz w:val="24"/>
        </w:rPr>
      </w:pPr>
      <w:bookmarkStart w:id="6" w:name="_Toc6904"/>
      <w:bookmarkStart w:id="7" w:name="_Toc23009"/>
      <w:bookmarkStart w:id="8" w:name="_Toc9011"/>
      <w:bookmarkStart w:id="9" w:name="_Toc11972"/>
      <w:bookmarkStart w:id="10" w:name="_Toc1631"/>
      <w:bookmarkStart w:id="11" w:name="_Toc19557"/>
      <w:bookmarkStart w:id="12" w:name="_Toc1280"/>
      <w:bookmarkStart w:id="13" w:name="_Toc19250"/>
    </w:p>
    <w:p>
      <w:pPr>
        <w:widowControl/>
        <w:spacing w:line="360" w:lineRule="auto"/>
        <w:outlineLvl w:val="1"/>
        <w:rPr>
          <w:rFonts w:ascii="Times New Roman" w:hAnsi="Times New Roman" w:eastAsia="宋体" w:cs="Times New Roman"/>
          <w:b/>
          <w:sz w:val="24"/>
        </w:rPr>
      </w:pPr>
      <w:bookmarkStart w:id="14" w:name="_Toc14"/>
      <w:r>
        <w:rPr>
          <w:rFonts w:ascii="Times New Roman" w:hAnsi="Times New Roman" w:eastAsia="宋体" w:cs="Times New Roman"/>
          <w:b/>
          <w:sz w:val="24"/>
        </w:rPr>
        <w:t>1.1竣工验收重点关注内容</w:t>
      </w:r>
      <w:bookmarkEnd w:id="6"/>
      <w:bookmarkEnd w:id="7"/>
      <w:bookmarkEnd w:id="8"/>
      <w:bookmarkEnd w:id="9"/>
      <w:bookmarkEnd w:id="10"/>
      <w:bookmarkEnd w:id="11"/>
      <w:bookmarkEnd w:id="12"/>
      <w:bookmarkEnd w:id="13"/>
      <w:bookmarkEnd w:id="14"/>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（1）检查建设项目环境管理制度的执行和落实情况、各项环保设施的实际建设、管理、运行状况以及各项环保治理措施落实情况；</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（2）监测分析建设项目外排废水、废气、噪声等排放达标情况；</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（3）监测统计总量控制污染物排放指标的达标情况；</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（4）核实主要生产设备、原辅材料用量、种类等，确定项目产能是否发生变化及是否达到环保竣工验收的负荷要求；</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（5）核实生产工艺流程，确定项目产污环节是否有变化；</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（6）核实各类污染防治措施，对照环评要求是否落实到位；</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（7）核实敏感保护目标的距离、方位，说明卫生防护距离内是否存在保护目标；</w:t>
      </w:r>
    </w:p>
    <w:p>
      <w:pPr>
        <w:keepNext/>
        <w:keepLines/>
        <w:adjustRightInd w:val="0"/>
        <w:spacing w:line="360" w:lineRule="auto"/>
        <w:ind w:firstLine="480" w:firstLineChars="200"/>
        <w:textAlignment w:val="baseline"/>
        <w:rPr>
          <w:rFonts w:ascii="Times New Roman" w:hAnsi="Times New Roman" w:eastAsia="宋体" w:cs="Times New Roman"/>
          <w:sz w:val="24"/>
        </w:rPr>
      </w:pPr>
      <w:r>
        <w:rPr>
          <w:rFonts w:ascii="Times New Roman" w:hAnsi="Times New Roman" w:eastAsia="宋体" w:cs="Times New Roman"/>
          <w:sz w:val="24"/>
        </w:rPr>
        <w:t>（8）核查企业环境风险防范措施是否按要求落实到位；</w:t>
      </w:r>
    </w:p>
    <w:p>
      <w:pPr>
        <w:widowControl/>
        <w:spacing w:line="360" w:lineRule="auto"/>
        <w:ind w:firstLine="480" w:firstLineChars="200"/>
        <w:rPr>
          <w:rFonts w:eastAsia="宋体"/>
          <w:sz w:val="24"/>
        </w:rPr>
      </w:pPr>
      <w:r>
        <w:rPr>
          <w:rFonts w:ascii="Times New Roman" w:hAnsi="Times New Roman" w:eastAsia="宋体" w:cs="Times New Roman"/>
          <w:sz w:val="24"/>
        </w:rPr>
        <w:t>（9）核查企业落实环评和环评批复情况，是否存在重大变化</w:t>
      </w:r>
      <w:r>
        <w:rPr>
          <w:rFonts w:hint="eastAsia" w:ascii="Times New Roman" w:hAnsi="Times New Roman" w:eastAsia="宋体" w:cs="Times New Roman"/>
          <w:sz w:val="24"/>
        </w:rPr>
        <w:t>。</w:t>
      </w:r>
    </w:p>
    <w:p>
      <w:pPr>
        <w:widowControl/>
        <w:spacing w:line="360" w:lineRule="auto"/>
        <w:outlineLvl w:val="1"/>
        <w:rPr>
          <w:rFonts w:ascii="Times New Roman" w:hAnsi="Times New Roman" w:eastAsia="宋体" w:cs="Times New Roman"/>
          <w:b/>
          <w:sz w:val="24"/>
        </w:rPr>
      </w:pPr>
      <w:bookmarkStart w:id="15" w:name="_Toc5549"/>
      <w:bookmarkStart w:id="16" w:name="_Toc28621"/>
      <w:bookmarkStart w:id="17" w:name="_Toc13877"/>
      <w:bookmarkStart w:id="18" w:name="_Toc12551"/>
      <w:bookmarkStart w:id="19" w:name="_Toc16260"/>
      <w:bookmarkStart w:id="20" w:name="_Toc20970"/>
      <w:bookmarkStart w:id="21" w:name="_Toc28483"/>
      <w:bookmarkStart w:id="22" w:name="_Toc19021"/>
      <w:bookmarkStart w:id="23" w:name="_Toc25614"/>
      <w:bookmarkStart w:id="24" w:name="_Toc7487"/>
      <w:r>
        <w:rPr>
          <w:rFonts w:hint="eastAsia" w:ascii="Times New Roman" w:hAnsi="Times New Roman" w:eastAsia="宋体" w:cs="Times New Roman"/>
          <w:b/>
          <w:sz w:val="24"/>
        </w:rPr>
        <w:t>1.2验收工作技术程序和内容</w:t>
      </w:r>
      <w:bookmarkEnd w:id="15"/>
      <w:bookmarkEnd w:id="16"/>
      <w:bookmarkEnd w:id="17"/>
      <w:bookmarkEnd w:id="18"/>
      <w:bookmarkEnd w:id="19"/>
      <w:bookmarkEnd w:id="20"/>
      <w:bookmarkEnd w:id="21"/>
      <w:bookmarkEnd w:id="22"/>
      <w:bookmarkEnd w:id="23"/>
      <w:bookmarkEnd w:id="24"/>
    </w:p>
    <w:p>
      <w:pPr>
        <w:adjustRightInd w:val="0"/>
        <w:spacing w:line="360" w:lineRule="auto"/>
        <w:ind w:firstLine="480" w:firstLineChars="200"/>
        <w:rPr>
          <w:rFonts w:ascii="Times New Roman" w:hAnsi="宋体" w:eastAsia="宋体"/>
          <w:sz w:val="24"/>
        </w:rPr>
      </w:pPr>
      <w:r>
        <w:rPr>
          <w:rFonts w:hint="eastAsia" w:ascii="Times New Roman" w:hAnsi="宋体" w:eastAsia="宋体"/>
          <w:sz w:val="24"/>
        </w:rPr>
        <w:t>验收监测工作分为启动、自查、编制监测方案、实施监测和核查、编制监测报告五个阶段。具体验收工作技术程序见图1-1。</w:t>
      </w:r>
    </w:p>
    <w:p>
      <w:pPr>
        <w:pStyle w:val="9"/>
        <w:spacing w:line="360" w:lineRule="auto"/>
        <w:ind w:left="0"/>
      </w:pPr>
      <w:r>
        <w:drawing>
          <wp:inline distT="0" distB="0" distL="114300" distR="114300">
            <wp:extent cx="5319395" cy="3718560"/>
            <wp:effectExtent l="0" t="0" r="14605" b="1524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9"/>
                    <a:stretch>
                      <a:fillRect/>
                    </a:stretch>
                  </pic:blipFill>
                  <pic:spPr>
                    <a:xfrm>
                      <a:off x="0" y="0"/>
                      <a:ext cx="5319395" cy="3718560"/>
                    </a:xfrm>
                    <a:prstGeom prst="rect">
                      <a:avLst/>
                    </a:prstGeom>
                    <a:noFill/>
                    <a:ln w="9525">
                      <a:noFill/>
                    </a:ln>
                  </pic:spPr>
                </pic:pic>
              </a:graphicData>
            </a:graphic>
          </wp:inline>
        </w:drawing>
      </w:r>
      <w:r>
        <w:drawing>
          <wp:inline distT="0" distB="0" distL="114300" distR="114300">
            <wp:extent cx="5323205" cy="3622675"/>
            <wp:effectExtent l="0" t="0" r="10795" b="158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5323205" cy="3622675"/>
                    </a:xfrm>
                    <a:prstGeom prst="rect">
                      <a:avLst/>
                    </a:prstGeom>
                    <a:noFill/>
                    <a:ln w="9525">
                      <a:noFill/>
                    </a:ln>
                  </pic:spPr>
                </pic:pic>
              </a:graphicData>
            </a:graphic>
          </wp:inline>
        </w:drawing>
      </w:r>
    </w:p>
    <w:p>
      <w:pPr>
        <w:pStyle w:val="7"/>
        <w:bidi w:val="0"/>
        <w:rPr>
          <w:rFonts w:hint="eastAsia" w:eastAsia="宋体"/>
          <w:lang w:eastAsia="zh-CN"/>
        </w:rPr>
        <w:sectPr>
          <w:footerReference r:id="rId5" w:type="default"/>
          <w:pgSz w:w="11906" w:h="16838"/>
          <w:pgMar w:top="1440" w:right="1800" w:bottom="1440" w:left="1800" w:header="851" w:footer="992" w:gutter="0"/>
          <w:pgNumType w:start="1"/>
          <w:cols w:space="720" w:num="1"/>
          <w:docGrid w:type="lines" w:linePitch="312" w:charSpace="0"/>
        </w:sectPr>
      </w:pPr>
      <w:r>
        <w:t>图</w:t>
      </w:r>
      <w:r>
        <w:fldChar w:fldCharType="begin"/>
      </w:r>
      <w:r>
        <w:instrText xml:space="preserve"> SEQ 图 \* ARABIC </w:instrText>
      </w:r>
      <w:r>
        <w:fldChar w:fldCharType="separate"/>
      </w:r>
      <w:r>
        <w:t>1</w:t>
      </w:r>
      <w:r>
        <w:fldChar w:fldCharType="end"/>
      </w:r>
      <w:bookmarkStart w:id="25" w:name="_Toc1216"/>
      <w:bookmarkStart w:id="26" w:name="_Toc28074"/>
      <w:r>
        <w:rPr>
          <w:rFonts w:hint="eastAsia"/>
          <w:lang w:eastAsia="zh-CN"/>
        </w:rPr>
        <w:t>-1  验收监测工作程序</w:t>
      </w:r>
      <w:bookmarkEnd w:id="25"/>
      <w:bookmarkEnd w:id="26"/>
    </w:p>
    <w:p>
      <w:pPr>
        <w:pStyle w:val="9"/>
        <w:spacing w:line="360" w:lineRule="auto"/>
        <w:ind w:left="0"/>
        <w:outlineLvl w:val="0"/>
        <w:rPr>
          <w:rFonts w:asciiTheme="minorEastAsia" w:hAnsiTheme="minorEastAsia" w:eastAsiaTheme="minorEastAsia" w:cstheme="minorEastAsia"/>
          <w:b/>
          <w:kern w:val="0"/>
        </w:rPr>
      </w:pPr>
      <w:bookmarkStart w:id="27" w:name="_Toc18379"/>
      <w:r>
        <w:rPr>
          <w:rFonts w:ascii="Times New Roman" w:hAnsi="Times New Roman" w:cs="Times New Roman" w:eastAsiaTheme="minorEastAsia"/>
          <w:b/>
          <w:bCs/>
        </w:rPr>
        <w:t>2.</w:t>
      </w:r>
      <w:r>
        <w:rPr>
          <w:rFonts w:hint="eastAsia" w:asciiTheme="minorEastAsia" w:hAnsiTheme="minorEastAsia" w:eastAsiaTheme="minorEastAsia" w:cstheme="minorEastAsia"/>
          <w:b/>
          <w:bCs/>
        </w:rPr>
        <w:t>验收依据</w:t>
      </w:r>
      <w:bookmarkEnd w:id="2"/>
      <w:bookmarkEnd w:id="27"/>
      <w:bookmarkStart w:id="28" w:name="_Toc2255"/>
    </w:p>
    <w:bookmarkEnd w:id="28"/>
    <w:p>
      <w:pPr>
        <w:pStyle w:val="4"/>
        <w:spacing w:line="360" w:lineRule="auto"/>
        <w:rPr>
          <w:rFonts w:ascii="Times New Roman" w:hAnsi="Times New Roman" w:cs="Times New Roman"/>
          <w:kern w:val="0"/>
          <w:sz w:val="24"/>
        </w:rPr>
      </w:pPr>
      <w:bookmarkStart w:id="29" w:name="_Toc1995"/>
      <w:bookmarkStart w:id="30" w:name="_Toc17932"/>
      <w:bookmarkStart w:id="31" w:name="_Toc23603"/>
      <w:bookmarkStart w:id="32" w:name="_Toc3411"/>
      <w:bookmarkStart w:id="33" w:name="_Toc21524"/>
      <w:bookmarkStart w:id="34" w:name="_Toc1081"/>
      <w:bookmarkStart w:id="35" w:name="_Toc504"/>
      <w:bookmarkStart w:id="36" w:name="_Toc8207"/>
      <w:bookmarkStart w:id="37" w:name="_Toc10922"/>
      <w:bookmarkStart w:id="38" w:name="_Toc19380"/>
      <w:bookmarkStart w:id="39" w:name="_Toc32328_WPSOffice_Level2"/>
      <w:bookmarkStart w:id="40" w:name="_Toc27062"/>
      <w:r>
        <w:rPr>
          <w:rFonts w:ascii="Times New Roman" w:hAnsi="Times New Roman" w:cs="Times New Roman"/>
          <w:kern w:val="0"/>
          <w:sz w:val="24"/>
        </w:rPr>
        <w:t>2.1建设项目环境保护相关法律、法规和规章制度</w:t>
      </w:r>
      <w:bookmarkEnd w:id="29"/>
      <w:bookmarkEnd w:id="30"/>
      <w:bookmarkEnd w:id="31"/>
      <w:bookmarkEnd w:id="32"/>
      <w:bookmarkEnd w:id="33"/>
      <w:bookmarkEnd w:id="34"/>
      <w:bookmarkEnd w:id="35"/>
      <w:bookmarkEnd w:id="36"/>
      <w:bookmarkEnd w:id="37"/>
      <w:bookmarkEnd w:id="38"/>
    </w:p>
    <w:p>
      <w:pPr>
        <w:spacing w:line="360" w:lineRule="auto"/>
        <w:rPr>
          <w:rFonts w:ascii="Times New Roman" w:hAnsi="Times New Roman" w:cs="Times New Roman"/>
          <w:kern w:val="0"/>
          <w:sz w:val="24"/>
        </w:rPr>
      </w:pPr>
      <w:r>
        <w:rPr>
          <w:rFonts w:ascii="Times New Roman" w:hAnsi="Times New Roman" w:cs="Times New Roman"/>
          <w:kern w:val="0"/>
          <w:sz w:val="24"/>
        </w:rPr>
        <w:t>（1）《中华人民共和国环境保护法》（2015年1月）；</w:t>
      </w:r>
    </w:p>
    <w:p>
      <w:pPr>
        <w:spacing w:line="360" w:lineRule="auto"/>
        <w:rPr>
          <w:rFonts w:ascii="Times New Roman" w:hAnsi="Times New Roman" w:cs="Times New Roman"/>
          <w:kern w:val="0"/>
          <w:sz w:val="24"/>
        </w:rPr>
      </w:pPr>
      <w:r>
        <w:rPr>
          <w:rFonts w:ascii="Times New Roman" w:hAnsi="Times New Roman" w:cs="Times New Roman"/>
          <w:kern w:val="0"/>
          <w:sz w:val="24"/>
        </w:rPr>
        <w:t>（2）《中华人民共和国环境噪声污染防治法》（</w:t>
      </w:r>
      <w:r>
        <w:rPr>
          <w:rFonts w:hint="eastAsia" w:ascii="Times New Roman" w:hAnsi="Times New Roman" w:cs="Times New Roman"/>
          <w:kern w:val="0"/>
          <w:sz w:val="24"/>
        </w:rPr>
        <w:t>2018</w:t>
      </w:r>
      <w:r>
        <w:rPr>
          <w:rFonts w:ascii="Times New Roman" w:hAnsi="Times New Roman" w:cs="Times New Roman"/>
          <w:kern w:val="0"/>
          <w:sz w:val="24"/>
        </w:rPr>
        <w:t>年</w:t>
      </w:r>
      <w:r>
        <w:rPr>
          <w:rFonts w:hint="eastAsia" w:ascii="Times New Roman" w:hAnsi="Times New Roman" w:cs="Times New Roman"/>
          <w:kern w:val="0"/>
          <w:sz w:val="24"/>
        </w:rPr>
        <w:t>12</w:t>
      </w:r>
      <w:r>
        <w:rPr>
          <w:rFonts w:ascii="Times New Roman" w:hAnsi="Times New Roman" w:cs="Times New Roman"/>
          <w:kern w:val="0"/>
          <w:sz w:val="24"/>
        </w:rPr>
        <w:t>月）；</w:t>
      </w:r>
    </w:p>
    <w:p>
      <w:pPr>
        <w:spacing w:line="360" w:lineRule="auto"/>
        <w:rPr>
          <w:rFonts w:ascii="Times New Roman" w:hAnsi="Times New Roman" w:cs="Times New Roman"/>
          <w:kern w:val="0"/>
          <w:sz w:val="24"/>
        </w:rPr>
      </w:pPr>
      <w:r>
        <w:rPr>
          <w:rFonts w:ascii="Times New Roman" w:hAnsi="Times New Roman" w:cs="Times New Roman"/>
          <w:kern w:val="0"/>
          <w:sz w:val="24"/>
        </w:rPr>
        <w:t>（3）《中华人民共和国大气污染防治法》（201</w:t>
      </w:r>
      <w:r>
        <w:rPr>
          <w:rFonts w:hint="eastAsia" w:ascii="Times New Roman" w:hAnsi="Times New Roman" w:cs="Times New Roman"/>
          <w:kern w:val="0"/>
          <w:sz w:val="24"/>
        </w:rPr>
        <w:t>8</w:t>
      </w:r>
      <w:r>
        <w:rPr>
          <w:rFonts w:ascii="Times New Roman" w:hAnsi="Times New Roman" w:cs="Times New Roman"/>
          <w:kern w:val="0"/>
          <w:sz w:val="24"/>
        </w:rPr>
        <w:t>年1</w:t>
      </w:r>
      <w:r>
        <w:rPr>
          <w:rFonts w:hint="eastAsia" w:ascii="Times New Roman" w:hAnsi="Times New Roman" w:cs="Times New Roman"/>
          <w:kern w:val="0"/>
          <w:sz w:val="24"/>
        </w:rPr>
        <w:t>0</w:t>
      </w:r>
      <w:r>
        <w:rPr>
          <w:rFonts w:ascii="Times New Roman" w:hAnsi="Times New Roman" w:cs="Times New Roman"/>
          <w:kern w:val="0"/>
          <w:sz w:val="24"/>
        </w:rPr>
        <w:t>月）；</w:t>
      </w:r>
    </w:p>
    <w:p>
      <w:pPr>
        <w:spacing w:line="360" w:lineRule="auto"/>
        <w:rPr>
          <w:rFonts w:ascii="Times New Roman" w:hAnsi="Times New Roman" w:cs="Times New Roman"/>
          <w:kern w:val="0"/>
          <w:sz w:val="24"/>
        </w:rPr>
      </w:pPr>
      <w:r>
        <w:rPr>
          <w:rFonts w:ascii="Times New Roman" w:hAnsi="Times New Roman" w:cs="Times New Roman"/>
          <w:kern w:val="0"/>
          <w:sz w:val="24"/>
        </w:rPr>
        <w:t>（4）《中华人民共和国固体废物污染环境防治法》（2016年11月）；</w:t>
      </w:r>
    </w:p>
    <w:p>
      <w:pPr>
        <w:spacing w:line="360" w:lineRule="auto"/>
        <w:rPr>
          <w:rFonts w:ascii="Times New Roman" w:hAnsi="Times New Roman" w:cs="Times New Roman"/>
          <w:kern w:val="0"/>
          <w:sz w:val="24"/>
        </w:rPr>
      </w:pPr>
      <w:r>
        <w:rPr>
          <w:rFonts w:ascii="Times New Roman" w:hAnsi="Times New Roman" w:cs="Times New Roman"/>
          <w:kern w:val="0"/>
          <w:sz w:val="24"/>
        </w:rPr>
        <w:t>（5）《中华人民共和国水污染防治法》（2018年1月）；</w:t>
      </w:r>
    </w:p>
    <w:p>
      <w:pPr>
        <w:spacing w:line="360" w:lineRule="auto"/>
        <w:rPr>
          <w:rFonts w:ascii="Times New Roman" w:hAnsi="Times New Roman" w:cs="Times New Roman"/>
          <w:kern w:val="0"/>
          <w:sz w:val="24"/>
        </w:rPr>
      </w:pPr>
      <w:r>
        <w:rPr>
          <w:rFonts w:ascii="Times New Roman" w:hAnsi="Times New Roman" w:cs="Times New Roman"/>
          <w:kern w:val="0"/>
          <w:sz w:val="24"/>
        </w:rPr>
        <w:t>（6）《建设项目环境保护管理条例》（国务院令第682 号）。</w:t>
      </w:r>
    </w:p>
    <w:p>
      <w:pPr>
        <w:pStyle w:val="4"/>
        <w:spacing w:line="360" w:lineRule="auto"/>
        <w:rPr>
          <w:rFonts w:ascii="Times New Roman" w:hAnsi="Times New Roman" w:cs="Times New Roman"/>
          <w:kern w:val="0"/>
          <w:sz w:val="24"/>
        </w:rPr>
      </w:pPr>
      <w:bookmarkStart w:id="41" w:name="_Toc29504"/>
      <w:bookmarkStart w:id="42" w:name="_Toc20644"/>
      <w:bookmarkStart w:id="43" w:name="_Toc16042"/>
      <w:bookmarkStart w:id="44" w:name="_Toc7736"/>
      <w:bookmarkStart w:id="45" w:name="_Toc5467"/>
      <w:bookmarkStart w:id="46" w:name="_Toc20625"/>
      <w:bookmarkStart w:id="47" w:name="_Toc31732"/>
      <w:bookmarkStart w:id="48" w:name="_Toc24819"/>
      <w:bookmarkStart w:id="49" w:name="_Toc6064"/>
      <w:bookmarkStart w:id="50" w:name="_Toc5279"/>
      <w:r>
        <w:rPr>
          <w:rFonts w:ascii="Times New Roman" w:hAnsi="Times New Roman" w:cs="Times New Roman"/>
          <w:kern w:val="0"/>
          <w:sz w:val="24"/>
        </w:rPr>
        <w:t>2.2建设项目竣工环境保护验收技术规范</w:t>
      </w:r>
      <w:bookmarkEnd w:id="41"/>
      <w:bookmarkEnd w:id="42"/>
      <w:bookmarkEnd w:id="43"/>
      <w:bookmarkEnd w:id="44"/>
      <w:bookmarkEnd w:id="45"/>
      <w:bookmarkEnd w:id="46"/>
      <w:bookmarkEnd w:id="47"/>
      <w:bookmarkEnd w:id="48"/>
      <w:bookmarkEnd w:id="49"/>
      <w:bookmarkEnd w:id="50"/>
    </w:p>
    <w:p>
      <w:pPr>
        <w:spacing w:line="360" w:lineRule="auto"/>
        <w:rPr>
          <w:rFonts w:ascii="Times New Roman" w:hAnsi="Times New Roman" w:cs="Times New Roman"/>
          <w:bCs/>
          <w:kern w:val="0"/>
          <w:sz w:val="24"/>
        </w:rPr>
      </w:pPr>
      <w:r>
        <w:rPr>
          <w:rFonts w:ascii="Times New Roman" w:hAnsi="Times New Roman" w:cs="Times New Roman"/>
          <w:kern w:val="0"/>
          <w:sz w:val="24"/>
        </w:rPr>
        <w:t>（1）</w:t>
      </w:r>
      <w:r>
        <w:rPr>
          <w:rFonts w:ascii="Times New Roman" w:hAnsi="Times New Roman" w:cs="Times New Roman"/>
          <w:bCs/>
          <w:kern w:val="0"/>
          <w:sz w:val="24"/>
        </w:rPr>
        <w:t>《建设项目竣工环境保护验收技术指南 污染影响类》（公告2018年第9号，生态环境部，2018年5月15日）</w:t>
      </w:r>
      <w:r>
        <w:rPr>
          <w:rFonts w:ascii="Times New Roman" w:hAnsi="Times New Roman" w:cs="Times New Roman"/>
          <w:kern w:val="0"/>
          <w:sz w:val="24"/>
        </w:rPr>
        <w:t>。</w:t>
      </w:r>
    </w:p>
    <w:p>
      <w:pPr>
        <w:spacing w:line="360" w:lineRule="auto"/>
        <w:rPr>
          <w:rFonts w:ascii="Times New Roman" w:hAnsi="Times New Roman" w:cs="Times New Roman"/>
          <w:kern w:val="0"/>
          <w:sz w:val="24"/>
        </w:rPr>
      </w:pPr>
      <w:r>
        <w:rPr>
          <w:rFonts w:ascii="Times New Roman" w:hAnsi="Times New Roman" w:cs="Times New Roman"/>
          <w:kern w:val="0"/>
          <w:sz w:val="24"/>
        </w:rPr>
        <w:t>（2）《建设项目竣工环境保护验收暂行办法》（国环规环评[2017]4号）。</w:t>
      </w:r>
    </w:p>
    <w:p>
      <w:pPr>
        <w:spacing w:line="360" w:lineRule="auto"/>
        <w:rPr>
          <w:rFonts w:ascii="Times New Roman" w:hAnsi="Times New Roman" w:cs="Times New Roman"/>
          <w:kern w:val="0"/>
          <w:sz w:val="24"/>
        </w:rPr>
      </w:pPr>
      <w:r>
        <w:rPr>
          <w:rFonts w:ascii="Times New Roman" w:hAnsi="Times New Roman" w:cs="Times New Roman"/>
          <w:kern w:val="0"/>
          <w:sz w:val="24"/>
        </w:rPr>
        <w:t>（3）《江苏省排污口设置及规范化整治管理办法》(江苏省环境保护局，苏环控[97]122号，1997年9月)。</w:t>
      </w:r>
    </w:p>
    <w:p>
      <w:pPr>
        <w:spacing w:line="360" w:lineRule="auto"/>
        <w:rPr>
          <w:rFonts w:ascii="Times New Roman" w:hAnsi="Times New Roman" w:cs="Times New Roman"/>
          <w:kern w:val="0"/>
          <w:sz w:val="24"/>
        </w:rPr>
      </w:pPr>
      <w:r>
        <w:rPr>
          <w:rFonts w:ascii="Times New Roman" w:hAnsi="Times New Roman" w:cs="Times New Roman"/>
          <w:kern w:val="0"/>
          <w:sz w:val="24"/>
        </w:rPr>
        <w:t>（4）《国家危险废物名录》（2016年版）环境保护部令 第39号。</w:t>
      </w:r>
    </w:p>
    <w:p>
      <w:pPr>
        <w:spacing w:line="360" w:lineRule="auto"/>
        <w:rPr>
          <w:rFonts w:ascii="Times New Roman" w:hAnsi="Times New Roman" w:cs="Times New Roman"/>
          <w:kern w:val="0"/>
          <w:sz w:val="24"/>
        </w:rPr>
      </w:pPr>
      <w:r>
        <w:rPr>
          <w:rFonts w:ascii="Times New Roman" w:hAnsi="Times New Roman" w:cs="Times New Roman"/>
          <w:kern w:val="0"/>
          <w:sz w:val="24"/>
        </w:rPr>
        <w:t>（5）《关于加强建设项目竣工环境保护验收监测工作中污染事故防范环境管理检查工作的通知》(中国环境监测总站，总站验字[2005]188号文)。</w:t>
      </w:r>
    </w:p>
    <w:p>
      <w:pPr>
        <w:pStyle w:val="4"/>
        <w:spacing w:line="360" w:lineRule="auto"/>
        <w:rPr>
          <w:rFonts w:ascii="Times New Roman" w:hAnsi="Times New Roman" w:cs="Times New Roman"/>
          <w:kern w:val="0"/>
          <w:sz w:val="24"/>
          <w:szCs w:val="24"/>
        </w:rPr>
      </w:pPr>
      <w:bookmarkStart w:id="51" w:name="_Toc31800"/>
      <w:r>
        <w:rPr>
          <w:rFonts w:ascii="Times New Roman" w:hAnsi="Times New Roman" w:cs="Times New Roman"/>
          <w:kern w:val="0"/>
          <w:sz w:val="24"/>
          <w:szCs w:val="24"/>
        </w:rPr>
        <w:t>2.3建设项目环境影响报告书及其审批部门审批决定</w:t>
      </w:r>
      <w:bookmarkEnd w:id="39"/>
      <w:bookmarkEnd w:id="40"/>
      <w:bookmarkEnd w:id="51"/>
    </w:p>
    <w:p>
      <w:pPr>
        <w:pStyle w:val="9"/>
        <w:spacing w:line="360" w:lineRule="auto"/>
        <w:ind w:left="0" w:firstLine="476" w:firstLineChars="200"/>
        <w:rPr>
          <w:rFonts w:ascii="Times New Roman" w:hAnsi="Times New Roman" w:cs="Times New Roman" w:eastAsiaTheme="minorEastAsia"/>
          <w:spacing w:val="-1"/>
          <w:sz w:val="24"/>
          <w:szCs w:val="24"/>
        </w:rPr>
      </w:pPr>
      <w:r>
        <w:rPr>
          <w:rFonts w:ascii="Times New Roman" w:hAnsi="Times New Roman" w:cs="Times New Roman" w:eastAsiaTheme="minorEastAsia"/>
          <w:spacing w:val="-1"/>
          <w:sz w:val="24"/>
          <w:szCs w:val="24"/>
        </w:rPr>
        <w:t>（1）《</w:t>
      </w:r>
      <w:r>
        <w:rPr>
          <w:rFonts w:hint="eastAsia" w:ascii="Times New Roman" w:hAnsi="Times New Roman" w:cs="Times New Roman" w:eastAsiaTheme="minorEastAsia"/>
          <w:spacing w:val="-1"/>
          <w:sz w:val="24"/>
          <w:szCs w:val="24"/>
        </w:rPr>
        <w:t>上海凤凰自行车江苏有限公司年产40万辆自行车生产线</w:t>
      </w:r>
      <w:r>
        <w:rPr>
          <w:rFonts w:ascii="Times New Roman" w:hAnsi="Times New Roman" w:cs="Times New Roman" w:eastAsiaTheme="minorEastAsia"/>
          <w:spacing w:val="-1"/>
          <w:sz w:val="24"/>
          <w:szCs w:val="24"/>
        </w:rPr>
        <w:t>项目环境影响报告书》（</w:t>
      </w:r>
      <w:r>
        <w:rPr>
          <w:rFonts w:hint="eastAsia" w:ascii="Times New Roman" w:hAnsi="Times New Roman" w:cs="Times New Roman" w:eastAsiaTheme="minorEastAsia"/>
          <w:spacing w:val="-1"/>
          <w:sz w:val="24"/>
          <w:szCs w:val="24"/>
        </w:rPr>
        <w:t>南京大学环境规划设计研究院有限公司</w:t>
      </w:r>
      <w:r>
        <w:rPr>
          <w:rFonts w:ascii="Times New Roman" w:hAnsi="Times New Roman" w:cs="Times New Roman" w:eastAsiaTheme="minorEastAsia"/>
          <w:spacing w:val="-1"/>
          <w:sz w:val="24"/>
          <w:szCs w:val="24"/>
        </w:rPr>
        <w:t>，201</w:t>
      </w:r>
      <w:r>
        <w:rPr>
          <w:rFonts w:hint="eastAsia" w:ascii="Times New Roman" w:hAnsi="Times New Roman" w:cs="Times New Roman" w:eastAsiaTheme="minorEastAsia"/>
          <w:spacing w:val="-1"/>
          <w:sz w:val="24"/>
          <w:szCs w:val="24"/>
        </w:rPr>
        <w:t>6</w:t>
      </w:r>
      <w:r>
        <w:rPr>
          <w:rFonts w:ascii="Times New Roman" w:hAnsi="Times New Roman" w:cs="Times New Roman" w:eastAsiaTheme="minorEastAsia"/>
          <w:spacing w:val="-1"/>
          <w:sz w:val="24"/>
          <w:szCs w:val="24"/>
        </w:rPr>
        <w:t>年12月）；</w:t>
      </w:r>
    </w:p>
    <w:p>
      <w:pPr>
        <w:pStyle w:val="9"/>
        <w:spacing w:line="360" w:lineRule="auto"/>
        <w:ind w:left="0" w:firstLine="476" w:firstLineChars="200"/>
        <w:rPr>
          <w:rFonts w:ascii="Times New Roman" w:hAnsi="Times New Roman" w:cs="Times New Roman" w:eastAsiaTheme="minorEastAsia"/>
          <w:spacing w:val="-1"/>
          <w:sz w:val="24"/>
          <w:szCs w:val="24"/>
        </w:rPr>
      </w:pPr>
      <w:r>
        <w:rPr>
          <w:rFonts w:ascii="Times New Roman" w:hAnsi="Times New Roman" w:cs="Times New Roman" w:eastAsiaTheme="minorEastAsia"/>
          <w:spacing w:val="-1"/>
          <w:sz w:val="24"/>
          <w:szCs w:val="24"/>
        </w:rPr>
        <w:t>（2）</w:t>
      </w:r>
      <w:r>
        <w:rPr>
          <w:rFonts w:ascii="Times New Roman" w:hAnsi="Times New Roman" w:cs="Times New Roman"/>
          <w:sz w:val="24"/>
          <w:szCs w:val="24"/>
        </w:rPr>
        <w:t>《</w:t>
      </w:r>
      <w:r>
        <w:rPr>
          <w:rFonts w:ascii="Times New Roman" w:hAnsi="Times New Roman" w:cs="Times New Roman" w:eastAsiaTheme="minorEastAsia"/>
          <w:spacing w:val="-1"/>
          <w:sz w:val="24"/>
          <w:szCs w:val="24"/>
        </w:rPr>
        <w:t>关于对</w:t>
      </w:r>
      <w:r>
        <w:rPr>
          <w:rFonts w:hint="eastAsia" w:ascii="Times New Roman" w:hAnsi="Times New Roman" w:cs="Times New Roman" w:eastAsiaTheme="minorEastAsia"/>
          <w:spacing w:val="-1"/>
          <w:sz w:val="24"/>
          <w:szCs w:val="24"/>
        </w:rPr>
        <w:t>上海凤凰自行车江苏有限公司年产40万辆自行车生产线</w:t>
      </w:r>
      <w:r>
        <w:rPr>
          <w:rFonts w:ascii="Times New Roman" w:hAnsi="Times New Roman" w:cs="Times New Roman" w:eastAsiaTheme="minorEastAsia"/>
          <w:spacing w:val="-1"/>
          <w:sz w:val="24"/>
          <w:szCs w:val="24"/>
        </w:rPr>
        <w:t>项目环境影响报告书的</w:t>
      </w:r>
      <w:r>
        <w:rPr>
          <w:rFonts w:hint="eastAsia" w:ascii="Times New Roman" w:hAnsi="Times New Roman" w:cs="Times New Roman" w:eastAsiaTheme="minorEastAsia"/>
          <w:spacing w:val="-1"/>
          <w:sz w:val="24"/>
          <w:szCs w:val="24"/>
        </w:rPr>
        <w:t>审批意见</w:t>
      </w:r>
      <w:r>
        <w:rPr>
          <w:rFonts w:ascii="Times New Roman" w:hAnsi="Times New Roman" w:cs="Times New Roman" w:eastAsiaTheme="minorEastAsia"/>
          <w:spacing w:val="-1"/>
          <w:sz w:val="24"/>
          <w:szCs w:val="24"/>
        </w:rPr>
        <w:t>》（</w:t>
      </w:r>
      <w:r>
        <w:rPr>
          <w:rFonts w:hint="eastAsia" w:ascii="Times New Roman" w:hAnsi="Times New Roman" w:cs="Times New Roman" w:eastAsiaTheme="minorEastAsia"/>
          <w:spacing w:val="-1"/>
          <w:sz w:val="24"/>
          <w:szCs w:val="24"/>
        </w:rPr>
        <w:t>丹阳市环境保护局</w:t>
      </w:r>
      <w:r>
        <w:rPr>
          <w:rFonts w:ascii="Times New Roman" w:hAnsi="Times New Roman" w:cs="Times New Roman" w:eastAsiaTheme="minorEastAsia"/>
          <w:spacing w:val="-1"/>
          <w:sz w:val="24"/>
          <w:szCs w:val="24"/>
        </w:rPr>
        <w:t>，</w:t>
      </w:r>
      <w:r>
        <w:rPr>
          <w:rFonts w:hint="eastAsia" w:ascii="Times New Roman" w:hAnsi="Times New Roman" w:cs="Times New Roman" w:eastAsiaTheme="minorEastAsia"/>
          <w:spacing w:val="-1"/>
          <w:sz w:val="24"/>
          <w:szCs w:val="24"/>
        </w:rPr>
        <w:t>丹</w:t>
      </w:r>
      <w:r>
        <w:rPr>
          <w:rFonts w:ascii="Times New Roman" w:hAnsi="Times New Roman" w:cs="Times New Roman" w:eastAsiaTheme="minorEastAsia"/>
          <w:spacing w:val="-1"/>
          <w:sz w:val="24"/>
          <w:szCs w:val="24"/>
        </w:rPr>
        <w:t>环审</w:t>
      </w:r>
      <w:r>
        <w:rPr>
          <w:rFonts w:hint="eastAsia" w:ascii="Times New Roman" w:hAnsi="Times New Roman" w:cs="Times New Roman" w:eastAsiaTheme="minorEastAsia"/>
          <w:spacing w:val="-1"/>
          <w:sz w:val="24"/>
          <w:szCs w:val="24"/>
        </w:rPr>
        <w:t>﹝2017﹞</w:t>
      </w:r>
      <w:r>
        <w:rPr>
          <w:rFonts w:ascii="Times New Roman" w:hAnsi="Times New Roman" w:cs="Times New Roman" w:eastAsiaTheme="minorEastAsia"/>
          <w:spacing w:val="-1"/>
          <w:sz w:val="24"/>
          <w:szCs w:val="24"/>
        </w:rPr>
        <w:t>2</w:t>
      </w:r>
      <w:r>
        <w:rPr>
          <w:rFonts w:hint="eastAsia" w:ascii="Times New Roman" w:hAnsi="Times New Roman" w:cs="Times New Roman" w:eastAsiaTheme="minorEastAsia"/>
          <w:spacing w:val="-1"/>
          <w:sz w:val="24"/>
          <w:szCs w:val="24"/>
        </w:rPr>
        <w:t>5</w:t>
      </w:r>
      <w:r>
        <w:rPr>
          <w:rFonts w:ascii="Times New Roman" w:hAnsi="Times New Roman" w:cs="Times New Roman" w:eastAsiaTheme="minorEastAsia"/>
          <w:spacing w:val="-1"/>
          <w:sz w:val="24"/>
          <w:szCs w:val="24"/>
        </w:rPr>
        <w:t>号，201</w:t>
      </w:r>
      <w:r>
        <w:rPr>
          <w:rFonts w:hint="eastAsia" w:ascii="Times New Roman" w:hAnsi="Times New Roman" w:cs="Times New Roman" w:eastAsiaTheme="minorEastAsia"/>
          <w:spacing w:val="-1"/>
          <w:sz w:val="24"/>
          <w:szCs w:val="24"/>
        </w:rPr>
        <w:t>7</w:t>
      </w:r>
      <w:r>
        <w:rPr>
          <w:rFonts w:ascii="Times New Roman" w:hAnsi="Times New Roman" w:cs="Times New Roman" w:eastAsiaTheme="minorEastAsia"/>
          <w:spacing w:val="-1"/>
          <w:sz w:val="24"/>
          <w:szCs w:val="24"/>
        </w:rPr>
        <w:t>年2月</w:t>
      </w:r>
      <w:r>
        <w:rPr>
          <w:rFonts w:hint="eastAsia" w:ascii="Times New Roman" w:hAnsi="Times New Roman" w:cs="Times New Roman" w:eastAsiaTheme="minorEastAsia"/>
          <w:spacing w:val="-1"/>
          <w:sz w:val="24"/>
          <w:szCs w:val="24"/>
        </w:rPr>
        <w:t>27</w:t>
      </w:r>
      <w:r>
        <w:rPr>
          <w:rFonts w:ascii="Times New Roman" w:hAnsi="Times New Roman" w:cs="Times New Roman" w:eastAsiaTheme="minorEastAsia"/>
          <w:spacing w:val="-1"/>
          <w:sz w:val="24"/>
          <w:szCs w:val="24"/>
        </w:rPr>
        <w:t>日）</w:t>
      </w:r>
      <w:r>
        <w:rPr>
          <w:rFonts w:hint="eastAsia" w:ascii="Times New Roman" w:hAnsi="Times New Roman" w:cs="Times New Roman" w:eastAsiaTheme="minorEastAsia"/>
          <w:spacing w:val="-1"/>
          <w:sz w:val="24"/>
          <w:szCs w:val="24"/>
          <w:highlight w:val="none"/>
        </w:rPr>
        <w:t>。</w:t>
      </w:r>
    </w:p>
    <w:p>
      <w:pPr>
        <w:widowControl/>
        <w:spacing w:line="360" w:lineRule="auto"/>
        <w:outlineLvl w:val="1"/>
        <w:rPr>
          <w:rFonts w:ascii="Times New Roman" w:hAnsi="Times New Roman" w:eastAsia="宋体" w:cs="Times New Roman"/>
          <w:b/>
          <w:sz w:val="24"/>
        </w:rPr>
      </w:pPr>
      <w:bookmarkStart w:id="52" w:name="_Toc11498"/>
      <w:bookmarkStart w:id="53" w:name="_Toc2950"/>
      <w:bookmarkStart w:id="54" w:name="_Toc32706"/>
      <w:bookmarkStart w:id="55" w:name="_Toc11447"/>
      <w:bookmarkStart w:id="56" w:name="_Toc3398"/>
      <w:bookmarkStart w:id="57" w:name="_Toc5011"/>
      <w:bookmarkStart w:id="58" w:name="_Toc32114"/>
      <w:bookmarkStart w:id="59" w:name="_Toc5914"/>
      <w:bookmarkStart w:id="60" w:name="_Toc29425"/>
      <w:r>
        <w:rPr>
          <w:rFonts w:ascii="Times New Roman" w:hAnsi="Times New Roman" w:eastAsia="宋体" w:cs="Times New Roman"/>
          <w:b/>
          <w:sz w:val="24"/>
        </w:rPr>
        <w:t>2.4其他相关文件</w:t>
      </w:r>
      <w:bookmarkEnd w:id="52"/>
      <w:bookmarkEnd w:id="53"/>
      <w:bookmarkEnd w:id="54"/>
      <w:bookmarkEnd w:id="55"/>
      <w:bookmarkEnd w:id="56"/>
      <w:bookmarkEnd w:id="57"/>
      <w:bookmarkEnd w:id="58"/>
      <w:bookmarkEnd w:id="59"/>
      <w:bookmarkEnd w:id="60"/>
    </w:p>
    <w:p>
      <w:pPr>
        <w:adjustRightInd w:val="0"/>
        <w:spacing w:line="360" w:lineRule="auto"/>
        <w:ind w:firstLine="480" w:firstLineChars="200"/>
        <w:rPr>
          <w:rFonts w:ascii="Times New Roman" w:hAnsi="Times New Roman" w:cs="Times New Roman"/>
          <w:sz w:val="24"/>
        </w:rPr>
      </w:pPr>
      <w:r>
        <w:rPr>
          <w:rFonts w:ascii="Times New Roman" w:hAnsi="Times New Roman" w:cs="Times New Roman"/>
          <w:sz w:val="24"/>
        </w:rPr>
        <w:t>（1）验收监测合同</w:t>
      </w:r>
      <w:r>
        <w:rPr>
          <w:rFonts w:hint="eastAsia" w:ascii="Times New Roman" w:hAnsi="Times New Roman" w:cs="Times New Roman"/>
          <w:sz w:val="24"/>
        </w:rPr>
        <w:t>，</w:t>
      </w:r>
    </w:p>
    <w:p>
      <w:pPr>
        <w:keepNext/>
        <w:spacing w:line="360" w:lineRule="auto"/>
        <w:ind w:firstLine="480" w:firstLineChars="200"/>
        <w:rPr>
          <w:rFonts w:cs="Times New Roman"/>
          <w:sz w:val="28"/>
          <w:szCs w:val="28"/>
        </w:rPr>
        <w:sectPr>
          <w:footerReference r:id="rId6" w:type="default"/>
          <w:pgSz w:w="11906" w:h="16838"/>
          <w:pgMar w:top="1440" w:right="1800" w:bottom="1440" w:left="1800" w:header="851" w:footer="992" w:gutter="0"/>
          <w:cols w:space="425" w:num="1"/>
          <w:docGrid w:type="lines" w:linePitch="312" w:charSpace="0"/>
        </w:sectPr>
      </w:pPr>
      <w:r>
        <w:rPr>
          <w:rFonts w:ascii="Times New Roman" w:hAnsi="Times New Roman" w:cs="Times New Roman"/>
          <w:sz w:val="24"/>
        </w:rPr>
        <w:t>（2）</w:t>
      </w:r>
      <w:r>
        <w:rPr>
          <w:rFonts w:hint="eastAsia" w:ascii="Times New Roman" w:hAnsi="Times New Roman" w:cs="Times New Roman"/>
          <w:sz w:val="24"/>
        </w:rPr>
        <w:t>上海凤凰自行车江苏</w:t>
      </w:r>
      <w:r>
        <w:rPr>
          <w:rFonts w:ascii="Times New Roman" w:hAnsi="Times New Roman" w:eastAsia="宋体" w:cs="Times New Roman"/>
          <w:sz w:val="24"/>
        </w:rPr>
        <w:t>有限公司</w:t>
      </w:r>
      <w:r>
        <w:rPr>
          <w:rFonts w:hAnsi="宋体"/>
          <w:sz w:val="24"/>
        </w:rPr>
        <w:t>其它相关资料</w:t>
      </w:r>
      <w:r>
        <w:rPr>
          <w:rFonts w:ascii="Times New Roman" w:hAnsi="Times New Roman" w:cs="Times New Roman"/>
          <w:sz w:val="24"/>
        </w:rPr>
        <w:t>。</w:t>
      </w:r>
      <w:bookmarkStart w:id="61" w:name="_Toc12984_WPSOffice_Level1"/>
      <w:bookmarkStart w:id="62" w:name="_Toc18881"/>
    </w:p>
    <w:p>
      <w:pPr>
        <w:pStyle w:val="3"/>
        <w:keepNext/>
        <w:keepLines/>
        <w:pageBreakBefore w:val="0"/>
        <w:widowControl w:val="0"/>
        <w:kinsoku/>
        <w:wordWrap/>
        <w:overflowPunct/>
        <w:topLinePunct w:val="0"/>
        <w:autoSpaceDE/>
        <w:autoSpaceDN/>
        <w:bidi w:val="0"/>
        <w:adjustRightInd/>
        <w:snapToGrid/>
        <w:spacing w:line="460" w:lineRule="exact"/>
        <w:textAlignment w:val="auto"/>
        <w:rPr>
          <w:rFonts w:cs="Times New Roman" w:eastAsiaTheme="minorEastAsia"/>
          <w:sz w:val="28"/>
          <w:szCs w:val="28"/>
        </w:rPr>
      </w:pPr>
      <w:bookmarkStart w:id="63" w:name="_Toc30375"/>
      <w:r>
        <w:rPr>
          <w:rFonts w:hint="eastAsia" w:cs="Times New Roman" w:eastAsiaTheme="minorEastAsia"/>
          <w:sz w:val="28"/>
          <w:szCs w:val="28"/>
        </w:rPr>
        <w:t>3.</w:t>
      </w:r>
      <w:r>
        <w:rPr>
          <w:rFonts w:cs="Times New Roman" w:eastAsiaTheme="minorEastAsia"/>
          <w:sz w:val="28"/>
          <w:szCs w:val="28"/>
        </w:rPr>
        <w:t>项目建设情况</w:t>
      </w:r>
      <w:bookmarkEnd w:id="61"/>
      <w:bookmarkEnd w:id="62"/>
      <w:bookmarkEnd w:id="63"/>
    </w:p>
    <w:p>
      <w:pPr>
        <w:pStyle w:val="4"/>
        <w:keepNext/>
        <w:keepLines/>
        <w:pageBreakBefore w:val="0"/>
        <w:widowControl w:val="0"/>
        <w:kinsoku/>
        <w:wordWrap/>
        <w:overflowPunct/>
        <w:topLinePunct w:val="0"/>
        <w:autoSpaceDE/>
        <w:autoSpaceDN/>
        <w:bidi w:val="0"/>
        <w:adjustRightInd/>
        <w:snapToGrid/>
        <w:spacing w:before="0" w:after="0" w:line="460" w:lineRule="exact"/>
        <w:ind w:firstLine="120" w:firstLineChars="50"/>
        <w:textAlignment w:val="auto"/>
        <w:rPr>
          <w:rFonts w:ascii="Times New Roman" w:hAnsi="Times New Roman" w:cs="Times New Roman" w:eastAsiaTheme="minorEastAsia"/>
          <w:kern w:val="0"/>
          <w:sz w:val="24"/>
          <w:szCs w:val="24"/>
        </w:rPr>
      </w:pPr>
      <w:bookmarkStart w:id="64" w:name="_Toc32328_WPSOffice_Level1"/>
      <w:bookmarkStart w:id="65" w:name="_Toc26000"/>
      <w:bookmarkStart w:id="66" w:name="_Toc28921"/>
      <w:r>
        <w:rPr>
          <w:rFonts w:ascii="Times New Roman" w:hAnsi="Times New Roman" w:cs="Times New Roman" w:eastAsiaTheme="minorEastAsia"/>
          <w:kern w:val="0"/>
          <w:sz w:val="24"/>
          <w:szCs w:val="24"/>
        </w:rPr>
        <w:t>3.1地理位置及平面布置</w:t>
      </w:r>
      <w:bookmarkEnd w:id="64"/>
      <w:bookmarkEnd w:id="65"/>
      <w:bookmarkEnd w:id="66"/>
    </w:p>
    <w:p>
      <w:pPr>
        <w:pageBreakBefore w:val="0"/>
        <w:kinsoku/>
        <w:wordWrap/>
        <w:overflowPunct/>
        <w:topLinePunct w:val="0"/>
        <w:autoSpaceDE/>
        <w:autoSpaceDN/>
        <w:bidi w:val="0"/>
        <w:adjustRightInd/>
        <w:snapToGrid/>
        <w:spacing w:line="460" w:lineRule="exact"/>
        <w:ind w:firstLine="560"/>
        <w:textAlignment w:val="auto"/>
        <w:rPr>
          <w:rFonts w:ascii="Times New Roman" w:hAnsi="Times New Roman" w:eastAsia="宋体" w:cs="Times New Roman"/>
          <w:sz w:val="24"/>
        </w:rPr>
      </w:pPr>
      <w:bookmarkStart w:id="67" w:name="_Toc19022_WPSOffice_Level1"/>
      <w:r>
        <w:rPr>
          <w:rFonts w:hint="eastAsia" w:ascii="Times New Roman" w:hAnsi="Times New Roman" w:eastAsia="宋体" w:cs="Times New Roman"/>
          <w:sz w:val="24"/>
        </w:rPr>
        <w:t>上海凤凰自行车江苏有限公司年产40万辆自行车生产线项目，建设地点</w:t>
      </w:r>
      <w:r>
        <w:rPr>
          <w:rFonts w:ascii="Times New Roman" w:hAnsi="Times New Roman" w:eastAsia="宋体" w:cs="Times New Roman"/>
          <w:sz w:val="24"/>
        </w:rPr>
        <w:t>位于</w:t>
      </w:r>
      <w:r>
        <w:rPr>
          <w:rFonts w:hint="eastAsia" w:ascii="Times New Roman" w:hAnsi="Times New Roman" w:eastAsia="宋体" w:cs="Times New Roman"/>
          <w:sz w:val="24"/>
        </w:rPr>
        <w:t>江苏省丹阳市司徒镇观鹤路1号美乐集团现有厂区内（经度119.497145 纬度32.011334）。本项目位于丹阳市司徒镇美乐集团东南角东侧为空地，东厂界距离最近敏感目标姜甲山村约440米；项目南侧是北二环路（城市支路），西侧为观鹤北路（城市支路），北侧为美乐集团下属江苏美乐车圈有限公司和江苏华久辐条制造有限公司。</w:t>
      </w:r>
    </w:p>
    <w:p>
      <w:pPr>
        <w:pageBreakBefore w:val="0"/>
        <w:widowControl/>
        <w:kinsoku/>
        <w:wordWrap/>
        <w:overflowPunct/>
        <w:topLinePunct w:val="0"/>
        <w:autoSpaceDE/>
        <w:autoSpaceDN/>
        <w:bidi w:val="0"/>
        <w:adjustRightInd/>
        <w:snapToGrid/>
        <w:spacing w:line="460" w:lineRule="exact"/>
        <w:ind w:firstLine="480" w:firstLineChars="200"/>
        <w:textAlignment w:val="auto"/>
        <w:rPr>
          <w:rFonts w:ascii="Times New Roman" w:hAnsi="Times New Roman" w:eastAsia="宋体" w:cs="Times New Roman"/>
          <w:color w:val="000000"/>
          <w:sz w:val="24"/>
        </w:rPr>
      </w:pPr>
      <w:r>
        <w:rPr>
          <w:rFonts w:ascii="Times New Roman" w:hAnsi="Times New Roman" w:eastAsia="宋体" w:cs="Times New Roman"/>
          <w:color w:val="000000"/>
          <w:sz w:val="24"/>
        </w:rPr>
        <w:t>本项目所处地理区域内主要环境保护目标见表3-1，项目地理位置见图3</w:t>
      </w:r>
      <w:r>
        <w:rPr>
          <w:rFonts w:ascii="Times New Roman" w:hAnsi="Times New Roman" w:cs="Times New Roman"/>
          <w:color w:val="000000"/>
          <w:sz w:val="24"/>
        </w:rPr>
        <w:t>-</w:t>
      </w:r>
      <w:r>
        <w:rPr>
          <w:rFonts w:ascii="Times New Roman" w:hAnsi="Times New Roman" w:eastAsia="宋体" w:cs="Times New Roman"/>
          <w:color w:val="000000"/>
          <w:sz w:val="24"/>
        </w:rPr>
        <w:t>1，项目周边敏感点分布见图3-2，</w:t>
      </w:r>
      <w:r>
        <w:rPr>
          <w:rFonts w:ascii="Times New Roman" w:hAnsi="Times New Roman" w:eastAsia="宋体" w:cs="Times New Roman"/>
          <w:sz w:val="24"/>
        </w:rPr>
        <w:t>项目平面布置及监测布点见图</w:t>
      </w:r>
      <w:r>
        <w:rPr>
          <w:rFonts w:ascii="Times New Roman" w:hAnsi="Times New Roman" w:eastAsia="宋体" w:cs="Times New Roman"/>
          <w:color w:val="000000"/>
          <w:sz w:val="24"/>
        </w:rPr>
        <w:t>3-</w:t>
      </w:r>
      <w:r>
        <w:rPr>
          <w:rFonts w:ascii="Times New Roman" w:hAnsi="Times New Roman" w:cs="Times New Roman"/>
          <w:color w:val="000000"/>
          <w:sz w:val="24"/>
        </w:rPr>
        <w:t>3</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lang w:val="en-US" w:eastAsia="zh-CN"/>
        </w:rPr>
        <w:t>项目雨水污水走向示意图</w:t>
      </w:r>
      <w:r>
        <w:rPr>
          <w:rFonts w:ascii="Times New Roman" w:hAnsi="Times New Roman" w:eastAsia="宋体" w:cs="Times New Roman"/>
          <w:color w:val="000000"/>
          <w:sz w:val="24"/>
        </w:rPr>
        <w:t>。</w:t>
      </w:r>
    </w:p>
    <w:p>
      <w:pPr>
        <w:pStyle w:val="7"/>
        <w:bidi w:val="0"/>
      </w:pPr>
      <w:r>
        <w:t>表</w:t>
      </w:r>
      <w:r>
        <w:rPr>
          <w:rFonts w:hint="eastAsia"/>
          <w:lang w:eastAsia="zh-CN"/>
        </w:rPr>
        <w:t xml:space="preserve">3-1 </w:t>
      </w:r>
      <w:r>
        <w:rPr>
          <w:rFonts w:hint="eastAsia"/>
          <w:lang w:val="en-US" w:eastAsia="zh-CN"/>
        </w:rPr>
        <w:t xml:space="preserve"> </w:t>
      </w:r>
      <w:r>
        <w:rPr>
          <w:rFonts w:hint="eastAsia"/>
          <w:lang w:eastAsia="zh-CN"/>
        </w:rPr>
        <w:t>主要环境保护目标</w:t>
      </w:r>
      <w:r>
        <w:t>表</w:t>
      </w:r>
    </w:p>
    <w:tbl>
      <w:tblPr>
        <w:tblStyle w:val="23"/>
        <w:tblW w:w="9416" w:type="dxa"/>
        <w:jc w:val="center"/>
        <w:tblInd w:w="-283"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96"/>
        <w:gridCol w:w="1932"/>
        <w:gridCol w:w="1257"/>
        <w:gridCol w:w="796"/>
        <w:gridCol w:w="1878"/>
        <w:gridCol w:w="2657"/>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tcBorders>
              <w:tl2br w:val="nil"/>
              <w:tr2bl w:val="nil"/>
            </w:tcBorders>
            <w:shd w:val="clear" w:color="auto" w:fill="auto"/>
            <w:vAlign w:val="center"/>
          </w:tcPr>
          <w:p>
            <w:pPr>
              <w:snapToGrid w:val="0"/>
              <w:jc w:val="center"/>
              <w:rPr>
                <w:rFonts w:ascii="Times New Roman" w:hAnsi="Times New Roman" w:cs="Times New Roman"/>
                <w:b/>
                <w:szCs w:val="21"/>
              </w:rPr>
            </w:pPr>
            <w:r>
              <w:rPr>
                <w:rFonts w:ascii="Times New Roman" w:hAnsi="Times New Roman" w:cs="Times New Roman"/>
                <w:b/>
                <w:szCs w:val="21"/>
              </w:rPr>
              <w:t>类别</w:t>
            </w:r>
          </w:p>
        </w:tc>
        <w:tc>
          <w:tcPr>
            <w:tcW w:w="1932" w:type="dxa"/>
            <w:tcBorders>
              <w:tl2br w:val="nil"/>
              <w:tr2bl w:val="nil"/>
            </w:tcBorders>
            <w:shd w:val="clear" w:color="auto" w:fill="auto"/>
            <w:vAlign w:val="center"/>
          </w:tcPr>
          <w:p>
            <w:pPr>
              <w:snapToGrid w:val="0"/>
              <w:jc w:val="center"/>
              <w:rPr>
                <w:rFonts w:ascii="Times New Roman" w:hAnsi="Times New Roman" w:cs="Times New Roman"/>
                <w:b/>
                <w:szCs w:val="21"/>
              </w:rPr>
            </w:pPr>
            <w:r>
              <w:rPr>
                <w:rFonts w:ascii="Times New Roman" w:hAnsi="Times New Roman" w:cs="Times New Roman"/>
                <w:b/>
                <w:szCs w:val="21"/>
              </w:rPr>
              <w:t>名称</w:t>
            </w:r>
          </w:p>
        </w:tc>
        <w:tc>
          <w:tcPr>
            <w:tcW w:w="1257" w:type="dxa"/>
            <w:tcBorders>
              <w:tl2br w:val="nil"/>
              <w:tr2bl w:val="nil"/>
            </w:tcBorders>
            <w:shd w:val="clear" w:color="auto" w:fill="auto"/>
            <w:vAlign w:val="center"/>
          </w:tcPr>
          <w:p>
            <w:pPr>
              <w:snapToGrid w:val="0"/>
              <w:jc w:val="center"/>
              <w:rPr>
                <w:rFonts w:ascii="Times New Roman" w:hAnsi="Times New Roman" w:cs="Times New Roman"/>
                <w:b/>
                <w:szCs w:val="21"/>
              </w:rPr>
            </w:pPr>
            <w:r>
              <w:rPr>
                <w:rFonts w:ascii="Times New Roman" w:hAnsi="Times New Roman" w:cs="Times New Roman"/>
                <w:b/>
                <w:szCs w:val="21"/>
              </w:rPr>
              <w:t>方位</w:t>
            </w:r>
          </w:p>
        </w:tc>
        <w:tc>
          <w:tcPr>
            <w:tcW w:w="796" w:type="dxa"/>
            <w:tcBorders>
              <w:tl2br w:val="nil"/>
              <w:tr2bl w:val="nil"/>
            </w:tcBorders>
            <w:shd w:val="clear" w:color="auto" w:fill="auto"/>
            <w:vAlign w:val="center"/>
          </w:tcPr>
          <w:p>
            <w:pPr>
              <w:snapToGrid w:val="0"/>
              <w:jc w:val="center"/>
              <w:rPr>
                <w:rFonts w:ascii="Times New Roman" w:hAnsi="Times New Roman" w:cs="Times New Roman"/>
                <w:b/>
                <w:szCs w:val="21"/>
              </w:rPr>
            </w:pPr>
            <w:r>
              <w:rPr>
                <w:rFonts w:ascii="Times New Roman" w:hAnsi="Times New Roman" w:cs="Times New Roman"/>
                <w:b/>
                <w:szCs w:val="21"/>
              </w:rPr>
              <w:t>距离（m）</w:t>
            </w:r>
          </w:p>
        </w:tc>
        <w:tc>
          <w:tcPr>
            <w:tcW w:w="1878" w:type="dxa"/>
            <w:tcBorders>
              <w:tl2br w:val="nil"/>
              <w:tr2bl w:val="nil"/>
            </w:tcBorders>
            <w:shd w:val="clear" w:color="auto" w:fill="auto"/>
            <w:vAlign w:val="center"/>
          </w:tcPr>
          <w:p>
            <w:pPr>
              <w:snapToGrid w:val="0"/>
              <w:jc w:val="center"/>
              <w:rPr>
                <w:rFonts w:ascii="Times New Roman" w:hAnsi="Times New Roman" w:cs="Times New Roman"/>
                <w:b/>
                <w:szCs w:val="21"/>
              </w:rPr>
            </w:pPr>
            <w:r>
              <w:rPr>
                <w:rFonts w:ascii="Times New Roman" w:hAnsi="Times New Roman" w:cs="Times New Roman"/>
                <w:b/>
                <w:szCs w:val="21"/>
              </w:rPr>
              <w:t>规模</w:t>
            </w:r>
          </w:p>
        </w:tc>
        <w:tc>
          <w:tcPr>
            <w:tcW w:w="2657" w:type="dxa"/>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环境功能</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restart"/>
            <w:tcBorders>
              <w:tl2br w:val="nil"/>
              <w:tr2bl w:val="nil"/>
            </w:tcBorders>
            <w:shd w:val="clear" w:color="auto" w:fill="auto"/>
            <w:vAlign w:val="center"/>
          </w:tcPr>
          <w:p>
            <w:pPr>
              <w:snapToGrid w:val="0"/>
              <w:jc w:val="center"/>
              <w:rPr>
                <w:rFonts w:ascii="Times New Roman" w:hAnsi="Times New Roman" w:cs="Times New Roman"/>
                <w:szCs w:val="21"/>
              </w:rPr>
            </w:pPr>
            <w:r>
              <w:rPr>
                <w:rFonts w:ascii="Times New Roman" w:hAnsi="Times New Roman" w:cs="Times New Roman"/>
                <w:szCs w:val="21"/>
              </w:rPr>
              <w:t>大</w:t>
            </w:r>
          </w:p>
          <w:p>
            <w:pPr>
              <w:snapToGrid w:val="0"/>
              <w:jc w:val="center"/>
              <w:rPr>
                <w:rFonts w:ascii="Times New Roman" w:hAnsi="Times New Roman" w:cs="Times New Roman"/>
                <w:szCs w:val="21"/>
              </w:rPr>
            </w:pPr>
            <w:r>
              <w:rPr>
                <w:rFonts w:ascii="Times New Roman" w:hAnsi="Times New Roman" w:cs="Times New Roman"/>
                <w:szCs w:val="21"/>
              </w:rPr>
              <w:t>气</w:t>
            </w:r>
          </w:p>
          <w:p>
            <w:pPr>
              <w:snapToGrid w:val="0"/>
              <w:jc w:val="center"/>
              <w:rPr>
                <w:rFonts w:ascii="Times New Roman" w:hAnsi="Times New Roman" w:cs="Times New Roman"/>
                <w:szCs w:val="21"/>
              </w:rPr>
            </w:pPr>
            <w:r>
              <w:rPr>
                <w:rFonts w:ascii="Times New Roman" w:hAnsi="Times New Roman" w:cs="Times New Roman"/>
                <w:szCs w:val="21"/>
              </w:rPr>
              <w:t>环</w:t>
            </w:r>
          </w:p>
          <w:p>
            <w:pPr>
              <w:snapToGrid w:val="0"/>
              <w:jc w:val="center"/>
              <w:rPr>
                <w:rFonts w:ascii="Times New Roman" w:hAnsi="Times New Roman" w:cs="Times New Roman"/>
                <w:szCs w:val="21"/>
              </w:rPr>
            </w:pPr>
            <w:r>
              <w:rPr>
                <w:rFonts w:ascii="Times New Roman" w:hAnsi="Times New Roman" w:cs="Times New Roman"/>
                <w:szCs w:val="21"/>
              </w:rPr>
              <w:t>境</w:t>
            </w: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姜甲山村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300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60户/180人</w:t>
            </w:r>
          </w:p>
        </w:tc>
        <w:tc>
          <w:tcPr>
            <w:tcW w:w="2657" w:type="dxa"/>
            <w:vMerge w:val="restart"/>
            <w:tcBorders>
              <w:tl2br w:val="nil"/>
              <w:tr2bl w:val="nil"/>
            </w:tcBorders>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《环境空气质量标准》（GB3095—2012）</w:t>
            </w:r>
          </w:p>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二类区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大坟村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1120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150户/450人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墩下村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1530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30户/90人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司徒集镇</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1000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2000户/6000人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西麻村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1420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150户/450人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东麻村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1980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15户/45人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司徒中学及小学</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西南偏南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730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1500人/4500人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固村（前、后）</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西南偏南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650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300户/1000人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潘甲村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西北偏西</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1690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80户/250人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楼下村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1250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100户/300人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谭甲村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西北偏北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700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100户/300人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前河阳村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西北偏北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2210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200户/600人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甸头村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2260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80户/250人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吴塘村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1670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50户/150人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黄庄村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1640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50户/150人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丁甲村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东北偏北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1120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80户/250人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廖甲村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西北偏北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970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50户/150人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曹巷村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910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60户/180人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冯村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2240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50户/150人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普墅村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1820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50户/150人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杨巷村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2010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30户/90人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泥亭村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东北偏东</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2100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200户/600人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马甲庄村</w:t>
            </w:r>
          </w:p>
        </w:tc>
        <w:tc>
          <w:tcPr>
            <w:tcW w:w="1257"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西南偏南</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1980</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kern w:val="0"/>
                <w:szCs w:val="21"/>
              </w:rPr>
              <w:t>50户/150人</w:t>
            </w:r>
          </w:p>
        </w:tc>
        <w:tc>
          <w:tcPr>
            <w:tcW w:w="2657" w:type="dxa"/>
            <w:vMerge w:val="continue"/>
            <w:tcBorders>
              <w:tl2br w:val="nil"/>
              <w:tr2bl w:val="nil"/>
            </w:tcBorders>
            <w:vAlign w:val="center"/>
          </w:tcPr>
          <w:p>
            <w:pPr>
              <w:adjustRightInd w:val="0"/>
              <w:snapToGrid w:val="0"/>
              <w:jc w:val="center"/>
              <w:rPr>
                <w:rFonts w:ascii="Times New Roman" w:hAnsi="Times New Roman" w:cs="Times New Roman"/>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6" w:type="dxa"/>
            <w:tcBorders>
              <w:tl2br w:val="nil"/>
              <w:tr2bl w:val="nil"/>
            </w:tcBorders>
            <w:shd w:val="clear" w:color="auto" w:fill="auto"/>
            <w:vAlign w:val="center"/>
          </w:tcPr>
          <w:p>
            <w:pPr>
              <w:snapToGrid w:val="0"/>
              <w:jc w:val="center"/>
              <w:rPr>
                <w:rFonts w:ascii="Times New Roman" w:hAnsi="Times New Roman" w:cs="Times New Roman"/>
                <w:szCs w:val="21"/>
              </w:rPr>
            </w:pPr>
            <w:r>
              <w:rPr>
                <w:rFonts w:ascii="Times New Roman" w:hAnsi="Times New Roman" w:cs="Times New Roman"/>
                <w:szCs w:val="21"/>
              </w:rPr>
              <w:t>声环境</w:t>
            </w:r>
          </w:p>
        </w:tc>
        <w:tc>
          <w:tcPr>
            <w:tcW w:w="1932"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厂界周边200m</w:t>
            </w:r>
          </w:p>
        </w:tc>
        <w:tc>
          <w:tcPr>
            <w:tcW w:w="1257"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四周</w:t>
            </w:r>
          </w:p>
        </w:tc>
        <w:tc>
          <w:tcPr>
            <w:tcW w:w="796"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szCs w:val="21"/>
              </w:rPr>
              <w:t>/</w:t>
            </w:r>
          </w:p>
        </w:tc>
        <w:tc>
          <w:tcPr>
            <w:tcW w:w="1878" w:type="dxa"/>
            <w:tcBorders>
              <w:tl2br w:val="nil"/>
              <w:tr2bl w:val="nil"/>
            </w:tcBorders>
            <w:shd w:val="clear" w:color="auto" w:fill="auto"/>
            <w:vAlign w:val="center"/>
          </w:tcPr>
          <w:p>
            <w:pPr>
              <w:snapToGrid w:val="0"/>
              <w:jc w:val="center"/>
              <w:rPr>
                <w:rFonts w:ascii="Times New Roman" w:hAnsi="Times New Roman" w:cs="Times New Roman"/>
                <w:kern w:val="0"/>
                <w:szCs w:val="21"/>
              </w:rPr>
            </w:pPr>
            <w:r>
              <w:rPr>
                <w:rFonts w:ascii="Times New Roman" w:hAnsi="Times New Roman" w:cs="Times New Roman"/>
                <w:szCs w:val="21"/>
              </w:rPr>
              <w:t>/</w:t>
            </w:r>
          </w:p>
        </w:tc>
        <w:tc>
          <w:tcPr>
            <w:tcW w:w="2657" w:type="dxa"/>
            <w:tcBorders>
              <w:tl2br w:val="nil"/>
              <w:tr2bl w:val="nil"/>
            </w:tcBorders>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《声环境质量标准》（GB3096－2008）3类区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jc w:val="center"/>
        </w:trPr>
        <w:tc>
          <w:tcPr>
            <w:tcW w:w="896" w:type="dxa"/>
            <w:vMerge w:val="restart"/>
            <w:tcBorders>
              <w:tl2br w:val="nil"/>
              <w:tr2bl w:val="nil"/>
            </w:tcBorders>
            <w:shd w:val="clear" w:color="auto" w:fill="auto"/>
            <w:vAlign w:val="center"/>
          </w:tcPr>
          <w:p>
            <w:pPr>
              <w:snapToGrid w:val="0"/>
              <w:jc w:val="center"/>
              <w:rPr>
                <w:rFonts w:ascii="Times New Roman" w:hAnsi="Times New Roman" w:cs="Times New Roman"/>
                <w:szCs w:val="21"/>
              </w:rPr>
            </w:pPr>
            <w:r>
              <w:rPr>
                <w:rFonts w:ascii="Times New Roman" w:hAnsi="Times New Roman" w:cs="Times New Roman"/>
                <w:szCs w:val="21"/>
              </w:rPr>
              <w:t>水</w:t>
            </w:r>
          </w:p>
          <w:p>
            <w:pPr>
              <w:snapToGrid w:val="0"/>
              <w:jc w:val="center"/>
              <w:rPr>
                <w:rFonts w:ascii="Times New Roman" w:hAnsi="Times New Roman" w:cs="Times New Roman"/>
                <w:szCs w:val="21"/>
              </w:rPr>
            </w:pPr>
            <w:r>
              <w:rPr>
                <w:rFonts w:ascii="Times New Roman" w:hAnsi="Times New Roman" w:cs="Times New Roman"/>
                <w:szCs w:val="21"/>
              </w:rPr>
              <w:t>环</w:t>
            </w:r>
          </w:p>
          <w:p>
            <w:pPr>
              <w:snapToGrid w:val="0"/>
              <w:jc w:val="center"/>
              <w:rPr>
                <w:rFonts w:ascii="Times New Roman" w:hAnsi="Times New Roman" w:cs="Times New Roman"/>
                <w:szCs w:val="21"/>
              </w:rPr>
            </w:pPr>
            <w:r>
              <w:rPr>
                <w:rFonts w:ascii="Times New Roman" w:hAnsi="Times New Roman" w:cs="Times New Roman"/>
                <w:szCs w:val="21"/>
              </w:rPr>
              <w:t>境</w:t>
            </w:r>
          </w:p>
        </w:tc>
        <w:tc>
          <w:tcPr>
            <w:tcW w:w="1932"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永丰河</w:t>
            </w:r>
          </w:p>
        </w:tc>
        <w:tc>
          <w:tcPr>
            <w:tcW w:w="1257"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西</w:t>
            </w:r>
          </w:p>
        </w:tc>
        <w:tc>
          <w:tcPr>
            <w:tcW w:w="796"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175</w:t>
            </w:r>
          </w:p>
        </w:tc>
        <w:tc>
          <w:tcPr>
            <w:tcW w:w="1878"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小河</w:t>
            </w:r>
          </w:p>
        </w:tc>
        <w:tc>
          <w:tcPr>
            <w:tcW w:w="2657" w:type="dxa"/>
            <w:tcBorders>
              <w:tl2br w:val="nil"/>
              <w:tr2bl w:val="nil"/>
            </w:tcBorders>
            <w:vAlign w:val="center"/>
          </w:tcPr>
          <w:p>
            <w:pPr>
              <w:snapToGrid w:val="0"/>
              <w:jc w:val="center"/>
              <w:rPr>
                <w:rFonts w:ascii="Times New Roman" w:hAnsi="Times New Roman" w:cs="Times New Roman"/>
                <w:szCs w:val="21"/>
              </w:rPr>
            </w:pPr>
            <w:r>
              <w:rPr>
                <w:rFonts w:ascii="Times New Roman" w:hAnsi="Times New Roman" w:cs="Times New Roman"/>
                <w:szCs w:val="21"/>
              </w:rPr>
              <w:t>《地表水环境质量标准》</w:t>
            </w:r>
            <w:r>
              <w:rPr>
                <w:rFonts w:ascii="Times New Roman" w:hAnsi="Times New Roman" w:cs="Times New Roman"/>
                <w:spacing w:val="-10"/>
                <w:szCs w:val="21"/>
              </w:rPr>
              <w:t>（GB3838—2002</w:t>
            </w:r>
            <w:r>
              <w:rPr>
                <w:rFonts w:ascii="Times New Roman" w:hAnsi="Times New Roman" w:cs="Times New Roman"/>
                <w:szCs w:val="21"/>
              </w:rPr>
              <w:t>）Ⅴ类</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20" w:hRule="atLeast"/>
          <w:jc w:val="center"/>
        </w:trPr>
        <w:tc>
          <w:tcPr>
            <w:tcW w:w="896" w:type="dxa"/>
            <w:vMerge w:val="continue"/>
            <w:tcBorders>
              <w:tl2br w:val="nil"/>
              <w:tr2bl w:val="nil"/>
            </w:tcBorders>
            <w:shd w:val="clear" w:color="auto" w:fill="auto"/>
            <w:vAlign w:val="center"/>
          </w:tcPr>
          <w:p>
            <w:pPr>
              <w:snapToGrid w:val="0"/>
              <w:jc w:val="center"/>
              <w:rPr>
                <w:rFonts w:ascii="Times New Roman" w:hAnsi="Times New Roman" w:cs="Times New Roman"/>
                <w:szCs w:val="21"/>
              </w:rPr>
            </w:pPr>
          </w:p>
        </w:tc>
        <w:tc>
          <w:tcPr>
            <w:tcW w:w="1932"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新河</w:t>
            </w:r>
          </w:p>
        </w:tc>
        <w:tc>
          <w:tcPr>
            <w:tcW w:w="1257"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南</w:t>
            </w:r>
          </w:p>
        </w:tc>
        <w:tc>
          <w:tcPr>
            <w:tcW w:w="796"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1000</w:t>
            </w:r>
          </w:p>
        </w:tc>
        <w:tc>
          <w:tcPr>
            <w:tcW w:w="1878"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小河</w:t>
            </w:r>
          </w:p>
        </w:tc>
        <w:tc>
          <w:tcPr>
            <w:tcW w:w="2657" w:type="dxa"/>
            <w:tcBorders>
              <w:tl2br w:val="nil"/>
              <w:tr2bl w:val="nil"/>
            </w:tcBorders>
            <w:vAlign w:val="center"/>
          </w:tcPr>
          <w:p>
            <w:pPr>
              <w:snapToGrid w:val="0"/>
              <w:jc w:val="center"/>
              <w:rPr>
                <w:rFonts w:ascii="Times New Roman" w:hAnsi="Times New Roman" w:cs="Times New Roman"/>
                <w:szCs w:val="21"/>
              </w:rPr>
            </w:pPr>
            <w:r>
              <w:rPr>
                <w:rFonts w:ascii="Times New Roman" w:hAnsi="Times New Roman" w:cs="Times New Roman"/>
                <w:szCs w:val="21"/>
              </w:rPr>
              <w:t>《地表水环境质量标准》</w:t>
            </w:r>
            <w:r>
              <w:rPr>
                <w:rFonts w:ascii="Times New Roman" w:hAnsi="Times New Roman" w:cs="Times New Roman"/>
                <w:spacing w:val="-10"/>
                <w:szCs w:val="21"/>
              </w:rPr>
              <w:t>（GB3838—2002</w:t>
            </w:r>
            <w:r>
              <w:rPr>
                <w:rFonts w:ascii="Times New Roman" w:hAnsi="Times New Roman" w:cs="Times New Roman"/>
                <w:szCs w:val="21"/>
              </w:rPr>
              <w:t>）Ⅳ类</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1" w:hRule="atLeast"/>
          <w:jc w:val="center"/>
        </w:trPr>
        <w:tc>
          <w:tcPr>
            <w:tcW w:w="896" w:type="dxa"/>
            <w:tcBorders>
              <w:tl2br w:val="nil"/>
              <w:tr2bl w:val="nil"/>
            </w:tcBorders>
            <w:shd w:val="clear" w:color="auto" w:fill="auto"/>
            <w:vAlign w:val="center"/>
          </w:tcPr>
          <w:p>
            <w:pPr>
              <w:snapToGrid w:val="0"/>
              <w:jc w:val="center"/>
              <w:rPr>
                <w:rFonts w:ascii="Times New Roman" w:hAnsi="Times New Roman" w:cs="Times New Roman"/>
                <w:szCs w:val="21"/>
              </w:rPr>
            </w:pPr>
            <w:r>
              <w:rPr>
                <w:rFonts w:ascii="Times New Roman" w:hAnsi="Times New Roman" w:cs="Times New Roman"/>
                <w:szCs w:val="21"/>
              </w:rPr>
              <w:t>生态</w:t>
            </w:r>
          </w:p>
          <w:p>
            <w:pPr>
              <w:snapToGrid w:val="0"/>
              <w:jc w:val="center"/>
              <w:rPr>
                <w:rFonts w:ascii="Times New Roman" w:hAnsi="Times New Roman" w:cs="Times New Roman"/>
                <w:szCs w:val="21"/>
              </w:rPr>
            </w:pPr>
            <w:r>
              <w:rPr>
                <w:rFonts w:ascii="Times New Roman" w:hAnsi="Times New Roman" w:cs="Times New Roman"/>
                <w:szCs w:val="21"/>
              </w:rPr>
              <w:t>环境</w:t>
            </w:r>
          </w:p>
        </w:tc>
        <w:tc>
          <w:tcPr>
            <w:tcW w:w="1932"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吴塘水库洪水调蓄区洪水调蓄区</w:t>
            </w:r>
          </w:p>
        </w:tc>
        <w:tc>
          <w:tcPr>
            <w:tcW w:w="1257"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西北</w:t>
            </w:r>
          </w:p>
        </w:tc>
        <w:tc>
          <w:tcPr>
            <w:tcW w:w="796"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2240</w:t>
            </w:r>
          </w:p>
        </w:tc>
        <w:tc>
          <w:tcPr>
            <w:tcW w:w="1878" w:type="dxa"/>
            <w:tcBorders>
              <w:tl2br w:val="nil"/>
              <w:tr2bl w:val="nil"/>
            </w:tcBorders>
            <w:shd w:val="clear" w:color="auto" w:fill="auto"/>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13.01km</w:t>
            </w:r>
            <w:r>
              <w:rPr>
                <w:rFonts w:ascii="Times New Roman" w:hAnsi="Times New Roman" w:cs="Times New Roman"/>
                <w:kern w:val="0"/>
                <w:szCs w:val="21"/>
                <w:vertAlign w:val="superscript"/>
              </w:rPr>
              <w:t>2</w:t>
            </w:r>
          </w:p>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（二级管控区，无一级管控区）</w:t>
            </w:r>
          </w:p>
        </w:tc>
        <w:tc>
          <w:tcPr>
            <w:tcW w:w="2657" w:type="dxa"/>
            <w:tcBorders>
              <w:tl2br w:val="nil"/>
              <w:tr2bl w:val="nil"/>
            </w:tcBorders>
            <w:vAlign w:val="center"/>
          </w:tcPr>
          <w:p>
            <w:pPr>
              <w:snapToGrid w:val="0"/>
              <w:jc w:val="center"/>
              <w:rPr>
                <w:rFonts w:ascii="Times New Roman" w:hAnsi="Times New Roman" w:cs="Times New Roman"/>
                <w:szCs w:val="21"/>
              </w:rPr>
            </w:pPr>
            <w:r>
              <w:rPr>
                <w:rFonts w:ascii="Times New Roman" w:hAnsi="Times New Roman" w:cs="Times New Roman"/>
                <w:szCs w:val="21"/>
              </w:rPr>
              <w:t>洪水调蓄</w:t>
            </w:r>
          </w:p>
        </w:tc>
      </w:tr>
    </w:tbl>
    <w:p>
      <w:pPr>
        <w:sectPr>
          <w:pgSz w:w="11906" w:h="16838"/>
          <w:pgMar w:top="567" w:right="1800" w:bottom="567" w:left="1800" w:header="567" w:footer="794" w:gutter="0"/>
          <w:cols w:space="425" w:num="1"/>
          <w:docGrid w:type="lines" w:linePitch="312" w:charSpace="0"/>
        </w:sectPr>
      </w:pPr>
    </w:p>
    <w:p>
      <w:pPr>
        <w:jc w:val="center"/>
      </w:pPr>
      <w:r>
        <w:drawing>
          <wp:inline distT="0" distB="0" distL="114300" distR="114300">
            <wp:extent cx="8065135" cy="4537710"/>
            <wp:effectExtent l="0" t="0" r="12065" b="1524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1"/>
                    <a:stretch>
                      <a:fillRect/>
                    </a:stretch>
                  </pic:blipFill>
                  <pic:spPr>
                    <a:xfrm>
                      <a:off x="0" y="0"/>
                      <a:ext cx="8065135" cy="4537710"/>
                    </a:xfrm>
                    <a:prstGeom prst="rect">
                      <a:avLst/>
                    </a:prstGeom>
                    <a:noFill/>
                    <a:ln w="9525">
                      <a:noFill/>
                    </a:ln>
                  </pic:spPr>
                </pic:pic>
              </a:graphicData>
            </a:graphic>
          </wp:inline>
        </w:drawing>
      </w:r>
    </w:p>
    <w:p>
      <w:pPr>
        <w:pStyle w:val="7"/>
        <w:bidi w:val="0"/>
      </w:pPr>
      <w:r>
        <w:t>图</w:t>
      </w:r>
      <w:r>
        <w:rPr>
          <w:rFonts w:hint="eastAsia"/>
          <w:lang w:eastAsia="zh-CN"/>
        </w:rPr>
        <w:t>3-1  项目地理位置图</w:t>
      </w:r>
    </w:p>
    <w:p/>
    <w:p>
      <w:pPr>
        <w:pStyle w:val="2"/>
        <w:sectPr>
          <w:pgSz w:w="16838" w:h="11906" w:orient="landscape"/>
          <w:pgMar w:top="1800" w:right="1440" w:bottom="1800" w:left="1440" w:header="851" w:footer="992" w:gutter="0"/>
          <w:cols w:space="425" w:num="1"/>
          <w:docGrid w:type="lines" w:linePitch="312" w:charSpace="0"/>
        </w:sectPr>
      </w:pPr>
    </w:p>
    <w:p>
      <w:r>
        <w:drawing>
          <wp:inline distT="0" distB="0" distL="114300" distR="114300">
            <wp:extent cx="8562975" cy="4809490"/>
            <wp:effectExtent l="19050" t="0" r="9525" b="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2"/>
                    <a:stretch>
                      <a:fillRect/>
                    </a:stretch>
                  </pic:blipFill>
                  <pic:spPr>
                    <a:xfrm>
                      <a:off x="0" y="0"/>
                      <a:ext cx="8562975" cy="4809689"/>
                    </a:xfrm>
                    <a:prstGeom prst="rect">
                      <a:avLst/>
                    </a:prstGeom>
                    <a:noFill/>
                    <a:ln w="9525">
                      <a:noFill/>
                    </a:ln>
                  </pic:spPr>
                </pic:pic>
              </a:graphicData>
            </a:graphic>
          </wp:inline>
        </w:drawing>
      </w:r>
    </w:p>
    <w:p>
      <w:pPr>
        <w:pStyle w:val="7"/>
        <w:bidi w:val="0"/>
        <w:rPr>
          <w:rFonts w:ascii="Times New Roman" w:hAnsi="Times New Roman" w:eastAsia="宋体" w:cs="Times New Roman"/>
          <w:b/>
          <w:bCs/>
          <w:color w:val="000000"/>
          <w:sz w:val="24"/>
        </w:rPr>
        <w:sectPr>
          <w:pgSz w:w="16838" w:h="11906" w:orient="landscape"/>
          <w:pgMar w:top="1800" w:right="1440" w:bottom="1800" w:left="1440" w:header="851" w:footer="992" w:gutter="0"/>
          <w:cols w:space="425" w:num="1"/>
          <w:docGrid w:type="lines" w:linePitch="312" w:charSpace="0"/>
        </w:sectPr>
      </w:pPr>
      <w:r>
        <w:t>图</w:t>
      </w:r>
      <w:r>
        <w:rPr>
          <w:rFonts w:hint="eastAsia"/>
          <w:lang w:eastAsia="zh-CN"/>
        </w:rPr>
        <w:t xml:space="preserve">3-2 </w:t>
      </w:r>
      <w:r>
        <w:rPr>
          <w:rFonts w:hint="eastAsia"/>
          <w:lang w:val="en-US" w:eastAsia="zh-CN"/>
        </w:rPr>
        <w:t xml:space="preserve"> </w:t>
      </w:r>
      <w:r>
        <w:rPr>
          <w:rFonts w:hint="eastAsia"/>
          <w:lang w:eastAsia="zh-CN"/>
        </w:rPr>
        <w:t>项目周边敏感点分布图</w:t>
      </w:r>
    </w:p>
    <w:p>
      <w:pPr>
        <w:tabs>
          <w:tab w:val="left" w:pos="6930"/>
        </w:tabs>
        <w:ind w:left="-199" w:leftChars="-95" w:firstLine="0" w:firstLineChars="0"/>
        <w:rPr>
          <w:rFonts w:hint="eastAsia" w:eastAsiaTheme="minorEastAsia"/>
          <w:lang w:eastAsia="zh-CN"/>
        </w:rPr>
      </w:pPr>
    </w:p>
    <w:p>
      <w:pPr>
        <w:tabs>
          <w:tab w:val="left" w:pos="6930"/>
        </w:tabs>
        <w:ind w:left="-199" w:leftChars="-95" w:firstLine="0" w:firstLineChars="0"/>
        <w:rPr>
          <w:rFonts w:hint="eastAsia" w:eastAsiaTheme="minorEastAsia"/>
          <w:lang w:eastAsia="zh-CN"/>
        </w:rPr>
      </w:pPr>
    </w:p>
    <w:p>
      <w:pPr>
        <w:tabs>
          <w:tab w:val="left" w:pos="6930"/>
        </w:tabs>
        <w:ind w:left="-199" w:leftChars="-95" w:firstLine="0" w:firstLineChars="0"/>
        <w:rPr>
          <w:rFonts w:hint="eastAsia" w:eastAsiaTheme="minorEastAsia"/>
          <w:lang w:eastAsia="zh-CN"/>
        </w:rPr>
      </w:pPr>
    </w:p>
    <w:p>
      <w:pPr>
        <w:tabs>
          <w:tab w:val="left" w:pos="6930"/>
        </w:tabs>
        <w:ind w:left="-199" w:leftChars="-95" w:firstLine="0" w:firstLineChars="0"/>
        <w:rPr>
          <w:rFonts w:hint="eastAsia" w:eastAsiaTheme="minorEastAsia"/>
          <w:lang w:eastAsia="zh-CN"/>
        </w:rPr>
      </w:pPr>
    </w:p>
    <w:p>
      <w:pPr>
        <w:tabs>
          <w:tab w:val="left" w:pos="6930"/>
        </w:tabs>
        <w:ind w:left="-199" w:leftChars="-95" w:firstLine="0" w:firstLineChars="0"/>
        <w:rPr>
          <w:rFonts w:hint="eastAsia" w:eastAsiaTheme="minorEastAsia"/>
          <w:lang w:eastAsia="zh-CN"/>
        </w:rPr>
      </w:pPr>
    </w:p>
    <w:p>
      <w:pPr>
        <w:tabs>
          <w:tab w:val="left" w:pos="6930"/>
        </w:tabs>
        <w:ind w:left="-199" w:leftChars="-95" w:firstLine="0" w:firstLineChars="0"/>
        <w:rPr>
          <w:rFonts w:hint="eastAsia" w:eastAsiaTheme="minorEastAsia"/>
          <w:lang w:eastAsia="zh-CN"/>
        </w:rPr>
      </w:pPr>
    </w:p>
    <w:p>
      <w:pPr>
        <w:tabs>
          <w:tab w:val="left" w:pos="6930"/>
        </w:tabs>
        <w:ind w:left="-199" w:leftChars="-95" w:firstLine="0" w:firstLineChars="0"/>
        <w:rPr>
          <w:rFonts w:hint="eastAsia" w:eastAsiaTheme="minorEastAsia"/>
          <w:lang w:eastAsia="zh-CN"/>
        </w:rPr>
      </w:pPr>
      <w:r>
        <w:rPr>
          <w:rFonts w:hint="eastAsia" w:eastAsiaTheme="minorEastAsia"/>
          <w:lang w:eastAsia="zh-CN"/>
        </w:rPr>
        <w:drawing>
          <wp:inline distT="0" distB="0" distL="114300" distR="114300">
            <wp:extent cx="5367020" cy="6151880"/>
            <wp:effectExtent l="0" t="0" r="5080" b="1270"/>
            <wp:docPr id="78" name="图片 78" descr="凤凰公司监测布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凤凰公司监测布点"/>
                    <pic:cNvPicPr>
                      <a:picLocks noChangeAspect="1"/>
                    </pic:cNvPicPr>
                  </pic:nvPicPr>
                  <pic:blipFill>
                    <a:blip r:embed="rId13"/>
                    <a:srcRect l="3780" t="12832" r="3824" b="12330"/>
                    <a:stretch>
                      <a:fillRect/>
                    </a:stretch>
                  </pic:blipFill>
                  <pic:spPr>
                    <a:xfrm>
                      <a:off x="0" y="0"/>
                      <a:ext cx="5367020" cy="6151880"/>
                    </a:xfrm>
                    <a:prstGeom prst="rect">
                      <a:avLst/>
                    </a:prstGeom>
                  </pic:spPr>
                </pic:pic>
              </a:graphicData>
            </a:graphic>
          </wp:inline>
        </w:drawing>
      </w:r>
    </w:p>
    <w:p/>
    <w:p>
      <w:pPr>
        <w:pStyle w:val="7"/>
        <w:jc w:val="center"/>
        <w:rPr>
          <w:rFonts w:hint="eastAsia" w:ascii="Times New Roman" w:hAnsi="Times New Roman" w:cs="Times New Roman" w:eastAsiaTheme="minorEastAsia"/>
          <w:b/>
          <w:color w:val="auto"/>
          <w:sz w:val="24"/>
          <w:lang w:val="en-US" w:eastAsia="zh-CN"/>
        </w:rPr>
        <w:sectPr>
          <w:pgSz w:w="11906" w:h="16838"/>
          <w:pgMar w:top="1440" w:right="1800" w:bottom="1440" w:left="1800" w:header="851" w:footer="992" w:gutter="0"/>
          <w:cols w:space="425" w:num="1"/>
          <w:docGrid w:type="lines" w:linePitch="312" w:charSpace="0"/>
        </w:sectPr>
      </w:pPr>
      <w:r>
        <w:t>图</w:t>
      </w:r>
      <w:r>
        <w:rPr>
          <w:rFonts w:hint="eastAsia"/>
          <w:lang w:val="en-US" w:eastAsia="zh-CN"/>
        </w:rPr>
        <w:t>3</w:t>
      </w:r>
      <w:r>
        <w:rPr>
          <w:rFonts w:hint="eastAsia"/>
          <w:lang w:eastAsia="zh-CN"/>
        </w:rPr>
        <w:t xml:space="preserve">-3 </w:t>
      </w:r>
      <w:r>
        <w:rPr>
          <w:rFonts w:hint="eastAsia"/>
          <w:lang w:val="en-US" w:eastAsia="zh-CN"/>
        </w:rPr>
        <w:t xml:space="preserve"> </w:t>
      </w:r>
      <w:r>
        <w:rPr>
          <w:rFonts w:hint="eastAsia"/>
          <w:lang w:eastAsia="zh-CN"/>
        </w:rPr>
        <w:t>项目平面布置示意图及监测布点图</w:t>
      </w:r>
    </w:p>
    <w:p/>
    <w:p>
      <w:pPr>
        <w:pStyle w:val="2"/>
      </w:pPr>
    </w:p>
    <w:p>
      <w:pPr>
        <w:keepNext w:val="0"/>
        <w:keepLines w:val="0"/>
        <w:widowControl/>
        <w:suppressLineNumbers w:val="0"/>
        <w:jc w:val="left"/>
        <w:rPr>
          <w:rFonts w:hint="eastAsia" w:eastAsiaTheme="minorEastAsia"/>
          <w:lang w:eastAsia="zh-CN"/>
        </w:rPr>
      </w:pPr>
      <w:r>
        <w:rPr>
          <w:rFonts w:hint="eastAsia" w:eastAsiaTheme="minorEastAsia"/>
          <w:lang w:eastAsia="zh-CN"/>
        </w:rPr>
        <w:drawing>
          <wp:inline distT="0" distB="0" distL="114300" distR="114300">
            <wp:extent cx="5431155" cy="7686040"/>
            <wp:effectExtent l="0" t="0" r="17145" b="10160"/>
            <wp:docPr id="81" name="图片 81" descr="雨污走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雨污走向"/>
                    <pic:cNvPicPr>
                      <a:picLocks noChangeAspect="1"/>
                    </pic:cNvPicPr>
                  </pic:nvPicPr>
                  <pic:blipFill>
                    <a:blip r:embed="rId14"/>
                    <a:stretch>
                      <a:fillRect/>
                    </a:stretch>
                  </pic:blipFill>
                  <pic:spPr>
                    <a:xfrm>
                      <a:off x="0" y="0"/>
                      <a:ext cx="5431155" cy="7686040"/>
                    </a:xfrm>
                    <a:prstGeom prst="rect">
                      <a:avLst/>
                    </a:prstGeom>
                  </pic:spPr>
                </pic:pic>
              </a:graphicData>
            </a:graphic>
          </wp:inline>
        </w:drawing>
      </w:r>
    </w:p>
    <w:p/>
    <w:p/>
    <w:p>
      <w:pPr>
        <w:pStyle w:val="7"/>
        <w:jc w:val="center"/>
        <w:rPr>
          <w:rFonts w:hint="default" w:ascii="Times New Roman" w:hAnsi="Times New Roman" w:cs="Times New Roman" w:eastAsiaTheme="minorEastAsia"/>
          <w:b/>
          <w:color w:val="auto"/>
          <w:sz w:val="24"/>
          <w:lang w:val="en-US" w:eastAsia="zh-CN"/>
        </w:rPr>
        <w:sectPr>
          <w:pgSz w:w="11906" w:h="16838"/>
          <w:pgMar w:top="1440" w:right="1800" w:bottom="1440" w:left="1800" w:header="851" w:footer="992" w:gutter="0"/>
          <w:cols w:space="425" w:num="1"/>
          <w:docGrid w:type="lines" w:linePitch="312" w:charSpace="0"/>
        </w:sectPr>
      </w:pPr>
      <w:bookmarkStart w:id="68" w:name="_Toc30178"/>
      <w:r>
        <w:t>图</w:t>
      </w:r>
      <w:r>
        <w:rPr>
          <w:rFonts w:hint="eastAsia"/>
          <w:lang w:eastAsia="zh-CN"/>
        </w:rPr>
        <w:t xml:space="preserve">3-4 </w:t>
      </w:r>
      <w:r>
        <w:rPr>
          <w:rFonts w:hint="eastAsia"/>
          <w:lang w:val="en-US" w:eastAsia="zh-CN"/>
        </w:rPr>
        <w:t xml:space="preserve"> </w:t>
      </w:r>
      <w:r>
        <w:rPr>
          <w:rFonts w:hint="eastAsia"/>
          <w:lang w:eastAsia="zh-CN"/>
        </w:rPr>
        <w:t>项目雨水污水走向示意图</w:t>
      </w:r>
      <w:bookmarkEnd w:id="68"/>
    </w:p>
    <w:p>
      <w:pPr>
        <w:pStyle w:val="22"/>
        <w:spacing w:line="360" w:lineRule="auto"/>
        <w:ind w:left="0" w:leftChars="0" w:firstLine="0" w:firstLineChars="0"/>
        <w:jc w:val="left"/>
        <w:outlineLvl w:val="1"/>
        <w:rPr>
          <w:rFonts w:hint="eastAsia" w:ascii="Times New Roman" w:eastAsiaTheme="minorEastAsia"/>
          <w:b/>
          <w:bCs/>
          <w:lang w:eastAsia="zh-CN"/>
        </w:rPr>
      </w:pPr>
      <w:bookmarkStart w:id="69" w:name="_Toc21930"/>
      <w:r>
        <w:rPr>
          <w:rFonts w:hint="eastAsia" w:ascii="Times New Roman"/>
          <w:b/>
          <w:bCs/>
        </w:rPr>
        <w:t>3.2建设内容</w:t>
      </w:r>
      <w:bookmarkEnd w:id="67"/>
      <w:r>
        <w:rPr>
          <w:rFonts w:hint="eastAsia" w:ascii="Times New Roman"/>
          <w:b/>
          <w:bCs/>
          <w:lang w:eastAsia="zh-CN"/>
        </w:rPr>
        <w:t>及变动情况</w:t>
      </w:r>
      <w:bookmarkEnd w:id="69"/>
    </w:p>
    <w:p>
      <w:pPr>
        <w:spacing w:line="500" w:lineRule="exact"/>
        <w:ind w:firstLine="480" w:firstLineChars="200"/>
        <w:rPr>
          <w:rFonts w:ascii="Times New Roman" w:hAnsi="Times New Roman" w:cs="Times New Roman"/>
          <w:sz w:val="24"/>
        </w:rPr>
      </w:pPr>
      <w:r>
        <w:rPr>
          <w:rFonts w:hint="eastAsia" w:ascii="Times New Roman" w:hAnsi="Times New Roman" w:cs="Times New Roman"/>
          <w:sz w:val="24"/>
        </w:rPr>
        <w:t>上海凤凰自行车江苏有限公司年产40万辆自行车生产线项目，租用美乐集团现有厂房的东南角空地新建本项目</w:t>
      </w:r>
      <w:r>
        <w:rPr>
          <w:rFonts w:hint="eastAsia" w:ascii="Times New Roman" w:hAnsi="Times New Roman" w:cs="Times New Roman"/>
          <w:sz w:val="24"/>
          <w:lang w:eastAsia="zh-CN"/>
        </w:rPr>
        <w:t>，项目占地26.9亩</w:t>
      </w:r>
      <w:r>
        <w:rPr>
          <w:rFonts w:hint="eastAsia" w:ascii="Times New Roman" w:hAnsi="Times New Roman" w:cs="Times New Roman"/>
          <w:sz w:val="24"/>
        </w:rPr>
        <w:t>。建成后拥有六条自行车生产线</w:t>
      </w:r>
      <w:r>
        <w:rPr>
          <w:rFonts w:hint="eastAsia" w:ascii="Times New Roman" w:hAnsi="Times New Roman" w:cs="Times New Roman"/>
          <w:sz w:val="24"/>
          <w:lang w:eastAsia="zh-CN"/>
        </w:rPr>
        <w:t>，</w:t>
      </w:r>
      <w:r>
        <w:rPr>
          <w:rFonts w:hint="eastAsia" w:ascii="Times New Roman" w:hAnsi="Times New Roman" w:cs="Times New Roman"/>
          <w:sz w:val="24"/>
        </w:rPr>
        <w:t>年产40万辆自行车的生产能力。</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eastAsia="zh-CN"/>
        </w:rPr>
        <w:t>本项目</w:t>
      </w:r>
      <w:r>
        <w:rPr>
          <w:rFonts w:hint="eastAsia" w:ascii="Times New Roman" w:hAnsi="Times New Roman" w:cs="Times New Roman"/>
          <w:sz w:val="24"/>
        </w:rPr>
        <w:t>实际总投资1400万元，</w:t>
      </w:r>
      <w:r>
        <w:rPr>
          <w:rFonts w:hint="eastAsia" w:ascii="Times New Roman" w:hAnsi="Times New Roman" w:cs="Times New Roman"/>
          <w:sz w:val="24"/>
          <w:lang w:eastAsia="zh-CN"/>
        </w:rPr>
        <w:t>已基本建成运营，由于表面前处理工艺中湿法表面处理及配套燃气锅炉等已建成未投运，现开展一期竣工环境保护验收；项目变动情况简述如下</w:t>
      </w:r>
      <w:r>
        <w:rPr>
          <w:rFonts w:hint="eastAsia" w:ascii="Times New Roman" w:hAnsi="Times New Roman" w:cs="Times New Roman"/>
          <w:sz w:val="24"/>
          <w:lang w:val="en-US" w:eastAsia="zh-CN"/>
        </w:rPr>
        <w:t>，变动环境影响分析报告详见附件。</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（1）表面前处理工艺中湿式表面处理及配套燃气锅炉等未运营。</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（2）项目建成后，由于自行车功能类别增多，按其功能性增加了组装线（由2条增加到6条），为分别组装方便、快捷，公司对其布局重新进行了合理调整。</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（3）由于燃气锅炉等未运营，天然气的年用量减少了3万m³；另外，由于自行车组装线由2条增加到6条，为保证新增组装线的正常运行，空气压缩机增加了5台（由2台增加到7台）。</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（4）排气筒设置</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①环评中，调喷漆废气（包括底漆、面漆、罩光漆的调喷漆）经“水喷淋+UV光催化”处理后通过3#排气筒排放；流平烘干废气（包括底漆、面漆、罩光漆的流平烘干及烘花）经“水喷淋+UV光催化”处理后通过4#排气筒排放；自行车部件在先后进行喷完底漆、面漆、贴花、罩光漆后，分别用燃天然气烤炉进行烘干，烤炉（由燃烧机、引风机和烘干室组成）燃烧废气处理后分别经4根（5#-8#）15m高排气筒排放。</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②实际建设过程中，考虑到用地布局及环保管理要求，将调喷漆废气分别经1套“水喷淋”（共3套）处理后合并，再经过1套“UV光催化”处理后，通过1#排气筒排放；每套烤炉燃气热气和燃烧废气一起经引风机进入烘干室烘烤工件后，与流平烘干废气混合，混合后的4股废气合并在一起经1套“水喷淋+UV光催化”处理，通过2#排气筒排放。</w:t>
      </w:r>
    </w:p>
    <w:p>
      <w:pPr>
        <w:keepNext/>
        <w:keepLines/>
        <w:pageBreakBefore w:val="0"/>
        <w:widowControl w:val="0"/>
        <w:kinsoku/>
        <w:wordWrap/>
        <w:overflowPunct/>
        <w:topLinePunct w:val="0"/>
        <w:autoSpaceDE/>
        <w:autoSpaceDN/>
        <w:bidi w:val="0"/>
        <w:adjustRightInd/>
        <w:snapToGrid/>
        <w:textAlignment w:val="auto"/>
        <w:outlineLvl w:val="9"/>
        <w:rPr>
          <w:rFonts w:hint="default" w:ascii="Times New Roman" w:hAnsi="Times New Roman" w:cs="Times New Roman" w:eastAsiaTheme="minorEastAsia"/>
          <w:b w:val="0"/>
          <w:kern w:val="2"/>
          <w:sz w:val="24"/>
          <w:szCs w:val="24"/>
          <w:lang w:val="en-US" w:eastAsia="zh-CN" w:bidi="ar-SA"/>
        </w:rPr>
      </w:pPr>
      <w:r>
        <w:rPr>
          <w:rFonts w:hint="eastAsia" w:cs="Times New Roman"/>
          <w:sz w:val="24"/>
          <w:lang w:val="en-US" w:eastAsia="zh-CN"/>
        </w:rPr>
        <w:t xml:space="preserve">    </w:t>
      </w:r>
      <w:r>
        <w:rPr>
          <w:rFonts w:hint="eastAsia" w:ascii="Times New Roman" w:hAnsi="Times New Roman" w:cs="Times New Roman" w:eastAsiaTheme="minorEastAsia"/>
          <w:b w:val="0"/>
          <w:kern w:val="2"/>
          <w:sz w:val="24"/>
          <w:szCs w:val="24"/>
          <w:lang w:val="en-US" w:eastAsia="zh-CN" w:bidi="ar-SA"/>
        </w:rPr>
        <w:t>变动情况列表说明，见变动前后对比一览表3-2-1。</w:t>
      </w:r>
    </w:p>
    <w:p>
      <w:pPr>
        <w:spacing w:line="500" w:lineRule="exact"/>
        <w:ind w:firstLine="480" w:firstLineChars="200"/>
        <w:rPr>
          <w:rFonts w:hint="eastAsia" w:ascii="Times New Roman" w:hAnsi="Times New Roman" w:cs="Times New Roman"/>
          <w:sz w:val="24"/>
          <w:lang w:val="en-US" w:eastAsia="zh-CN"/>
        </w:rPr>
      </w:pPr>
    </w:p>
    <w:p>
      <w:pPr>
        <w:pStyle w:val="2"/>
        <w:rPr>
          <w:rFonts w:hint="eastAsia"/>
          <w:lang w:val="en-US" w:eastAsia="zh-CN"/>
        </w:rPr>
      </w:pPr>
    </w:p>
    <w:p>
      <w:pPr>
        <w:pStyle w:val="7"/>
        <w:bidi w:val="0"/>
        <w:rPr>
          <w:rFonts w:hint="eastAsia"/>
          <w:lang w:eastAsia="zh-CN"/>
        </w:rPr>
      </w:pPr>
      <w:r>
        <w:t>表</w:t>
      </w:r>
      <w:r>
        <w:rPr>
          <w:rFonts w:hint="eastAsia"/>
          <w:lang w:eastAsia="zh-CN"/>
        </w:rPr>
        <w:t xml:space="preserve">3-2-1 </w:t>
      </w:r>
      <w:r>
        <w:rPr>
          <w:rFonts w:hint="eastAsia"/>
          <w:lang w:val="en-US" w:eastAsia="zh-CN"/>
        </w:rPr>
        <w:t xml:space="preserve"> </w:t>
      </w:r>
      <w:r>
        <w:rPr>
          <w:rFonts w:hint="eastAsia"/>
          <w:lang w:eastAsia="zh-CN"/>
        </w:rPr>
        <w:t>变动前后对比一览表</w:t>
      </w:r>
    </w:p>
    <w:tbl>
      <w:tblPr>
        <w:tblStyle w:val="24"/>
        <w:tblW w:w="8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5"/>
        <w:gridCol w:w="587"/>
        <w:gridCol w:w="2290"/>
        <w:gridCol w:w="2154"/>
        <w:gridCol w:w="1556"/>
        <w:gridCol w:w="1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序号</w:t>
            </w:r>
          </w:p>
        </w:tc>
        <w:tc>
          <w:tcPr>
            <w:tcW w:w="2877" w:type="dxa"/>
            <w:gridSpan w:val="2"/>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工程变动前（环评）</w:t>
            </w:r>
          </w:p>
        </w:tc>
        <w:tc>
          <w:tcPr>
            <w:tcW w:w="2154"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现状情况</w:t>
            </w:r>
          </w:p>
        </w:tc>
        <w:tc>
          <w:tcPr>
            <w:tcW w:w="3054" w:type="dxa"/>
            <w:gridSpan w:val="2"/>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1</w:t>
            </w:r>
          </w:p>
        </w:tc>
        <w:tc>
          <w:tcPr>
            <w:tcW w:w="5031" w:type="dxa"/>
            <w:gridSpan w:val="3"/>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前处理及涂装车间/1栋，建筑面积4508㎡，设置前处理生产线1条，涂装生产线1条</w:t>
            </w: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湿式表面前处理</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生产线未投运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2</w:t>
            </w:r>
          </w:p>
        </w:tc>
        <w:tc>
          <w:tcPr>
            <w:tcW w:w="2877"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酸洗废气处理/</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碱液喷淋塔</w:t>
            </w:r>
          </w:p>
        </w:tc>
        <w:tc>
          <w:tcPr>
            <w:tcW w:w="2154"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酸洗未投运</w:t>
            </w: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15m高排气筒1套，</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环评中为1#排气筒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3"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3</w:t>
            </w:r>
          </w:p>
        </w:tc>
        <w:tc>
          <w:tcPr>
            <w:tcW w:w="2877" w:type="dxa"/>
            <w:gridSpan w:val="2"/>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供热工程/燃气锅炉1台</w:t>
            </w:r>
          </w:p>
        </w:tc>
        <w:tc>
          <w:tcPr>
            <w:tcW w:w="2154" w:type="dxa"/>
            <w:vMerge w:val="restart"/>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燃气锅炉未投运，</w:t>
            </w:r>
          </w:p>
          <w:p>
            <w:pPr>
              <w:jc w:val="center"/>
              <w:rPr>
                <w:rFonts w:hint="default" w:ascii="Times New Roman" w:hAnsi="Times New Roman" w:eastAsia="仿宋_GB2312" w:cs="Times New Roman"/>
                <w:vertAlign w:val="baseline"/>
                <w:lang w:val="en-US" w:eastAsia="zh-CN"/>
              </w:rPr>
            </w:pPr>
            <w:r>
              <w:rPr>
                <w:rFonts w:hint="eastAsia" w:ascii="Times New Roman" w:hAnsi="Times New Roman" w:eastAsia="仿宋_GB2312" w:cs="Times New Roman"/>
                <w:vertAlign w:val="baseline"/>
                <w:lang w:val="en-US" w:eastAsia="zh-CN"/>
              </w:rPr>
              <w:t>未设置排气筒</w:t>
            </w: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1t/h燃气锅炉1台，</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年供蒸汽量100t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8"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4</w:t>
            </w:r>
          </w:p>
        </w:tc>
        <w:tc>
          <w:tcPr>
            <w:tcW w:w="2877" w:type="dxa"/>
            <w:gridSpan w:val="2"/>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燃天然气锅炉废气处理</w:t>
            </w:r>
          </w:p>
        </w:tc>
        <w:tc>
          <w:tcPr>
            <w:tcW w:w="2154" w:type="dxa"/>
            <w:vMerge w:val="continue"/>
            <w:noWrap w:val="0"/>
            <w:vAlign w:val="center"/>
          </w:tcPr>
          <w:p>
            <w:pPr>
              <w:jc w:val="center"/>
              <w:rPr>
                <w:rFonts w:hint="default" w:ascii="Times New Roman" w:hAnsi="Times New Roman" w:eastAsia="仿宋_GB2312" w:cs="Times New Roman"/>
                <w:vertAlign w:val="baseline"/>
                <w:lang w:val="en-US" w:eastAsia="zh-CN"/>
              </w:rPr>
            </w:pP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环评中为2#排气筒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5"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5</w:t>
            </w:r>
          </w:p>
        </w:tc>
        <w:tc>
          <w:tcPr>
            <w:tcW w:w="2877" w:type="dxa"/>
            <w:gridSpan w:val="2"/>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成品库①/5685㎡</w:t>
            </w:r>
          </w:p>
        </w:tc>
        <w:tc>
          <w:tcPr>
            <w:tcW w:w="2154" w:type="dxa"/>
            <w:noWrap w:val="0"/>
            <w:vAlign w:val="center"/>
          </w:tcPr>
          <w:p>
            <w:pPr>
              <w:jc w:val="left"/>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已退租。现调整到原</w:t>
            </w:r>
            <w:r>
              <w:rPr>
                <w:rFonts w:hint="eastAsia" w:ascii="Times New Roman" w:hAnsi="Times New Roman" w:eastAsia="仿宋_GB2312" w:cs="Times New Roman"/>
                <w:vertAlign w:val="baseline"/>
                <w:lang w:val="en-US" w:eastAsia="zh-CN"/>
              </w:rPr>
              <w:t>装配</w:t>
            </w:r>
            <w:r>
              <w:rPr>
                <w:rFonts w:hint="default" w:ascii="Times New Roman" w:hAnsi="Times New Roman" w:eastAsia="仿宋_GB2312" w:cs="Times New Roman"/>
                <w:vertAlign w:val="baseline"/>
                <w:lang w:val="en-US" w:eastAsia="zh-CN"/>
              </w:rPr>
              <w:t>车间存放</w:t>
            </w: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both"/>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此库房在本项目区域之外，原先主要用于临时存放“ofo”共享单车等；现在</w:t>
            </w:r>
            <w:r>
              <w:rPr>
                <w:rFonts w:hint="eastAsia" w:ascii="Times New Roman" w:hAnsi="Times New Roman" w:eastAsia="仿宋_GB2312" w:cs="Times New Roman"/>
                <w:vertAlign w:val="baseline"/>
                <w:lang w:val="en-US" w:eastAsia="zh-CN"/>
              </w:rPr>
              <w:t>部分</w:t>
            </w:r>
            <w:r>
              <w:rPr>
                <w:rFonts w:hint="default" w:ascii="Times New Roman" w:hAnsi="Times New Roman" w:eastAsia="仿宋_GB2312" w:cs="Times New Roman"/>
                <w:vertAlign w:val="baseline"/>
                <w:lang w:val="en-US" w:eastAsia="zh-CN"/>
              </w:rPr>
              <w:t>存放在室外。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695" w:type="dxa"/>
            <w:vMerge w:val="restart"/>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6</w:t>
            </w:r>
          </w:p>
        </w:tc>
        <w:tc>
          <w:tcPr>
            <w:tcW w:w="587" w:type="dxa"/>
            <w:vMerge w:val="restart"/>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 xml:space="preserve">仓库 </w:t>
            </w:r>
          </w:p>
        </w:tc>
        <w:tc>
          <w:tcPr>
            <w:tcW w:w="2290"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成品库②/2515㎡</w:t>
            </w:r>
          </w:p>
        </w:tc>
        <w:tc>
          <w:tcPr>
            <w:tcW w:w="215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5000㎡调整为</w:t>
            </w:r>
            <w:r>
              <w:rPr>
                <w:rFonts w:hint="eastAsia" w:ascii="Times New Roman" w:hAnsi="Times New Roman" w:eastAsia="仿宋_GB2312" w:cs="Times New Roman"/>
                <w:vertAlign w:val="baseline"/>
                <w:lang w:val="en-US" w:eastAsia="zh-CN"/>
              </w:rPr>
              <w:t>装配</w:t>
            </w:r>
            <w:r>
              <w:rPr>
                <w:rFonts w:hint="default" w:ascii="Times New Roman" w:hAnsi="Times New Roman" w:eastAsia="仿宋_GB2312" w:cs="Times New Roman"/>
                <w:vertAlign w:val="baseline"/>
                <w:lang w:val="en-US" w:eastAsia="zh-CN"/>
              </w:rPr>
              <w:t>车间②/新增的4条</w:t>
            </w:r>
            <w:r>
              <w:rPr>
                <w:rFonts w:hint="eastAsia" w:ascii="Times New Roman" w:hAnsi="Times New Roman" w:eastAsia="仿宋_GB2312" w:cs="Times New Roman"/>
                <w:vertAlign w:val="baseline"/>
                <w:lang w:val="en-US" w:eastAsia="zh-CN"/>
              </w:rPr>
              <w:t>装配</w:t>
            </w:r>
            <w:r>
              <w:rPr>
                <w:rFonts w:hint="default" w:ascii="Times New Roman" w:hAnsi="Times New Roman" w:eastAsia="仿宋_GB2312" w:cs="Times New Roman"/>
                <w:vertAlign w:val="baseline"/>
                <w:lang w:val="en-US" w:eastAsia="zh-CN"/>
              </w:rPr>
              <w:t>线</w:t>
            </w:r>
          </w:p>
        </w:tc>
        <w:tc>
          <w:tcPr>
            <w:tcW w:w="3054" w:type="dxa"/>
            <w:gridSpan w:val="2"/>
            <w:vMerge w:val="restart"/>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西侧含部分办公用房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695" w:type="dxa"/>
            <w:vMerge w:val="continue"/>
            <w:noWrap w:val="0"/>
            <w:vAlign w:val="center"/>
          </w:tcPr>
          <w:p>
            <w:pPr>
              <w:jc w:val="center"/>
              <w:rPr>
                <w:rFonts w:hint="default" w:ascii="Times New Roman" w:hAnsi="Times New Roman" w:eastAsia="仿宋_GB2312" w:cs="Times New Roman"/>
                <w:vertAlign w:val="baseline"/>
                <w:lang w:val="en-US" w:eastAsia="zh-CN"/>
              </w:rPr>
            </w:pPr>
          </w:p>
        </w:tc>
        <w:tc>
          <w:tcPr>
            <w:tcW w:w="587" w:type="dxa"/>
            <w:vMerge w:val="continue"/>
            <w:noWrap w:val="0"/>
            <w:vAlign w:val="center"/>
          </w:tcPr>
          <w:p>
            <w:pPr>
              <w:jc w:val="center"/>
              <w:rPr>
                <w:rFonts w:hint="default" w:ascii="Times New Roman" w:hAnsi="Times New Roman" w:eastAsia="仿宋_GB2312" w:cs="Times New Roman"/>
                <w:vertAlign w:val="baseline"/>
                <w:lang w:val="en-US" w:eastAsia="zh-CN"/>
              </w:rPr>
            </w:pPr>
          </w:p>
        </w:tc>
        <w:tc>
          <w:tcPr>
            <w:tcW w:w="2290"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零部件库/2485㎡</w:t>
            </w:r>
          </w:p>
        </w:tc>
        <w:tc>
          <w:tcPr>
            <w:tcW w:w="215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p>
        </w:tc>
        <w:tc>
          <w:tcPr>
            <w:tcW w:w="3054" w:type="dxa"/>
            <w:gridSpan w:val="2"/>
            <w:vMerge w:val="continue"/>
            <w:noWrap w:val="0"/>
            <w:vAlign w:val="center"/>
          </w:tcPr>
          <w:p>
            <w:pPr>
              <w:jc w:val="center"/>
              <w:rPr>
                <w:rFonts w:hint="default" w:ascii="Times New Roman" w:hAnsi="Times New Roman" w:eastAsia="仿宋_GB2312" w:cs="Times New Roman"/>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trPr>
        <w:tc>
          <w:tcPr>
            <w:tcW w:w="695" w:type="dxa"/>
            <w:vMerge w:val="restart"/>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7</w:t>
            </w:r>
          </w:p>
        </w:tc>
        <w:tc>
          <w:tcPr>
            <w:tcW w:w="2877" w:type="dxa"/>
            <w:gridSpan w:val="2"/>
            <w:vMerge w:val="restart"/>
            <w:noWrap w:val="0"/>
            <w:vAlign w:val="center"/>
          </w:tcPr>
          <w:p>
            <w:pPr>
              <w:jc w:val="center"/>
              <w:rPr>
                <w:rFonts w:hint="default" w:ascii="Times New Roman" w:hAnsi="Times New Roman" w:eastAsia="仿宋_GB2312" w:cs="Times New Roman"/>
                <w:vertAlign w:val="baseline"/>
                <w:lang w:val="en-US" w:eastAsia="zh-CN"/>
              </w:rPr>
            </w:pPr>
            <w:r>
              <w:rPr>
                <w:rFonts w:hint="eastAsia" w:ascii="Times New Roman" w:hAnsi="Times New Roman" w:eastAsia="仿宋_GB2312" w:cs="Times New Roman"/>
                <w:vertAlign w:val="baseline"/>
                <w:lang w:val="en-US" w:eastAsia="zh-CN"/>
              </w:rPr>
              <w:t>装配</w:t>
            </w:r>
            <w:r>
              <w:rPr>
                <w:rFonts w:hint="default" w:ascii="Times New Roman" w:hAnsi="Times New Roman" w:eastAsia="仿宋_GB2312" w:cs="Times New Roman"/>
                <w:vertAlign w:val="baseline"/>
                <w:lang w:val="en-US" w:eastAsia="zh-CN"/>
              </w:rPr>
              <w:t>车间/9408㎡</w:t>
            </w:r>
          </w:p>
        </w:tc>
        <w:tc>
          <w:tcPr>
            <w:tcW w:w="2154"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eastAsia" w:ascii="Times New Roman" w:hAnsi="Times New Roman" w:eastAsia="仿宋_GB2312" w:cs="Times New Roman"/>
                <w:vertAlign w:val="baseline"/>
                <w:lang w:val="en-US" w:eastAsia="zh-CN"/>
              </w:rPr>
              <w:t>装配</w:t>
            </w:r>
            <w:r>
              <w:rPr>
                <w:rFonts w:hint="default" w:ascii="Times New Roman" w:hAnsi="Times New Roman" w:eastAsia="仿宋_GB2312" w:cs="Times New Roman"/>
                <w:vertAlign w:val="baseline"/>
                <w:lang w:val="en-US" w:eastAsia="zh-CN"/>
              </w:rPr>
              <w:t>车间①/3200㎡</w:t>
            </w:r>
          </w:p>
        </w:tc>
        <w:tc>
          <w:tcPr>
            <w:tcW w:w="3054" w:type="dxa"/>
            <w:gridSpan w:val="2"/>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原2条线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4" w:hRule="atLeast"/>
        </w:trPr>
        <w:tc>
          <w:tcPr>
            <w:tcW w:w="695" w:type="dxa"/>
            <w:vMerge w:val="continue"/>
            <w:noWrap w:val="0"/>
            <w:vAlign w:val="center"/>
          </w:tcPr>
          <w:p>
            <w:pPr>
              <w:jc w:val="center"/>
              <w:rPr>
                <w:rFonts w:hint="default" w:ascii="Times New Roman" w:hAnsi="Times New Roman" w:eastAsia="仿宋_GB2312" w:cs="Times New Roman"/>
                <w:vertAlign w:val="baseline"/>
                <w:lang w:val="en-US" w:eastAsia="zh-CN"/>
              </w:rPr>
            </w:pPr>
          </w:p>
        </w:tc>
        <w:tc>
          <w:tcPr>
            <w:tcW w:w="2877" w:type="dxa"/>
            <w:gridSpan w:val="2"/>
            <w:vMerge w:val="continue"/>
            <w:noWrap w:val="0"/>
            <w:vAlign w:val="center"/>
          </w:tcPr>
          <w:p>
            <w:pPr>
              <w:jc w:val="center"/>
              <w:rPr>
                <w:rFonts w:hint="default" w:ascii="Times New Roman" w:hAnsi="Times New Roman" w:eastAsia="仿宋_GB2312" w:cs="Times New Roman"/>
                <w:vertAlign w:val="baseline"/>
                <w:lang w:val="en-US" w:eastAsia="zh-CN"/>
              </w:rPr>
            </w:pPr>
          </w:p>
        </w:tc>
        <w:tc>
          <w:tcPr>
            <w:tcW w:w="2154"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成品库3000㎡/零部件库2800㎡/办公及研发等408㎡</w:t>
            </w: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库房内划分</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区域货架式存放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3" w:hRule="atLeast"/>
        </w:trPr>
        <w:tc>
          <w:tcPr>
            <w:tcW w:w="695" w:type="dxa"/>
            <w:vMerge w:val="restart"/>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8</w:t>
            </w:r>
          </w:p>
        </w:tc>
        <w:tc>
          <w:tcPr>
            <w:tcW w:w="587"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vertAlign w:val="baseline"/>
                <w:lang w:val="en-US" w:eastAsia="zh-CN"/>
              </w:rPr>
              <w:t>供气工程</w:t>
            </w:r>
          </w:p>
        </w:tc>
        <w:tc>
          <w:tcPr>
            <w:tcW w:w="2290"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天然气用量</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color w:val="auto"/>
                <w:szCs w:val="21"/>
              </w:rPr>
              <w:t>18万m</w:t>
            </w:r>
            <w:r>
              <w:rPr>
                <w:rFonts w:hint="default" w:ascii="Times New Roman" w:hAnsi="Times New Roman" w:eastAsia="仿宋_GB2312" w:cs="Times New Roman"/>
                <w:color w:val="auto"/>
                <w:szCs w:val="21"/>
                <w:vertAlign w:val="superscript"/>
              </w:rPr>
              <w:t>3</w:t>
            </w:r>
            <w:r>
              <w:rPr>
                <w:rFonts w:hint="default" w:ascii="Times New Roman" w:hAnsi="Times New Roman" w:eastAsia="仿宋_GB2312" w:cs="Times New Roman"/>
                <w:color w:val="auto"/>
                <w:szCs w:val="21"/>
              </w:rPr>
              <w:t>/a</w:t>
            </w:r>
          </w:p>
        </w:tc>
        <w:tc>
          <w:tcPr>
            <w:tcW w:w="2154"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vertAlign w:val="baseline"/>
                <w:lang w:val="en-US" w:eastAsia="zh-CN"/>
              </w:rPr>
              <w:t>天然气用量15万</w:t>
            </w:r>
            <w:r>
              <w:rPr>
                <w:rFonts w:hint="default" w:ascii="Times New Roman" w:hAnsi="Times New Roman" w:eastAsia="仿宋_GB2312" w:cs="Times New Roman"/>
                <w:color w:val="auto"/>
                <w:szCs w:val="21"/>
              </w:rPr>
              <w:t>m</w:t>
            </w:r>
            <w:r>
              <w:rPr>
                <w:rFonts w:hint="default" w:ascii="Times New Roman" w:hAnsi="Times New Roman" w:eastAsia="仿宋_GB2312" w:cs="Times New Roman"/>
                <w:color w:val="auto"/>
                <w:szCs w:val="21"/>
                <w:vertAlign w:val="superscript"/>
              </w:rPr>
              <w:t>3</w:t>
            </w:r>
            <w:r>
              <w:rPr>
                <w:rFonts w:hint="default" w:ascii="Times New Roman" w:hAnsi="Times New Roman" w:eastAsia="仿宋_GB2312" w:cs="Times New Roman"/>
                <w:color w:val="auto"/>
                <w:szCs w:val="21"/>
              </w:rPr>
              <w:t>/a</w:t>
            </w:r>
          </w:p>
        </w:tc>
        <w:tc>
          <w:tcPr>
            <w:tcW w:w="3054" w:type="dxa"/>
            <w:gridSpan w:val="2"/>
            <w:noWrap w:val="0"/>
            <w:vAlign w:val="center"/>
          </w:tcPr>
          <w:p>
            <w:pPr>
              <w:adjustRightInd w:val="0"/>
              <w:snapToGrid w:val="0"/>
              <w:jc w:val="center"/>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vertAlign w:val="baseline"/>
                <w:lang w:val="en-US" w:eastAsia="zh-CN"/>
              </w:rPr>
              <w:t>燃气锅炉未投运/3万</w:t>
            </w:r>
            <w:r>
              <w:rPr>
                <w:rFonts w:hint="default" w:ascii="Times New Roman" w:hAnsi="Times New Roman" w:eastAsia="仿宋_GB2312" w:cs="Times New Roman"/>
                <w:color w:val="auto"/>
                <w:szCs w:val="21"/>
              </w:rPr>
              <w:t>m</w:t>
            </w:r>
            <w:r>
              <w:rPr>
                <w:rFonts w:hint="default" w:ascii="Times New Roman" w:hAnsi="Times New Roman" w:eastAsia="仿宋_GB2312" w:cs="Times New Roman"/>
                <w:color w:val="auto"/>
                <w:szCs w:val="21"/>
                <w:vertAlign w:val="superscript"/>
              </w:rPr>
              <w:t>3</w:t>
            </w:r>
            <w:r>
              <w:rPr>
                <w:rFonts w:hint="default" w:ascii="Times New Roman" w:hAnsi="Times New Roman" w:eastAsia="仿宋_GB2312" w:cs="Times New Roman"/>
                <w:color w:val="auto"/>
                <w:szCs w:val="21"/>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3" w:hRule="atLeast"/>
        </w:trPr>
        <w:tc>
          <w:tcPr>
            <w:tcW w:w="695" w:type="dxa"/>
            <w:vMerge w:val="continue"/>
            <w:noWrap w:val="0"/>
            <w:vAlign w:val="center"/>
          </w:tcPr>
          <w:p>
            <w:pPr>
              <w:jc w:val="center"/>
              <w:rPr>
                <w:rFonts w:hint="default" w:ascii="Times New Roman" w:hAnsi="Times New Roman" w:eastAsia="仿宋_GB2312" w:cs="Times New Roman"/>
                <w:vertAlign w:val="baseline"/>
                <w:lang w:val="en-US" w:eastAsia="zh-CN"/>
              </w:rPr>
            </w:pPr>
          </w:p>
        </w:tc>
        <w:tc>
          <w:tcPr>
            <w:tcW w:w="587" w:type="dxa"/>
            <w:vMerge w:val="continue"/>
            <w:noWrap w:val="0"/>
            <w:vAlign w:val="center"/>
          </w:tcPr>
          <w:p>
            <w:pPr>
              <w:jc w:val="center"/>
              <w:rPr>
                <w:rFonts w:hint="default" w:ascii="Times New Roman" w:hAnsi="Times New Roman" w:eastAsia="仿宋_GB2312" w:cs="Times New Roman"/>
                <w:color w:val="auto"/>
                <w:vertAlign w:val="baseline"/>
                <w:lang w:val="en-US" w:eastAsia="zh-CN"/>
              </w:rPr>
            </w:pPr>
          </w:p>
        </w:tc>
        <w:tc>
          <w:tcPr>
            <w:tcW w:w="2290"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压缩空气/</w:t>
            </w:r>
          </w:p>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vertAlign w:val="baseline"/>
                <w:lang w:val="en-US" w:eastAsia="zh-CN"/>
              </w:rPr>
              <w:t>2台空压机</w:t>
            </w:r>
          </w:p>
        </w:tc>
        <w:tc>
          <w:tcPr>
            <w:tcW w:w="2154"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vertAlign w:val="baseline"/>
                <w:lang w:val="en-US" w:eastAsia="zh-CN"/>
              </w:rPr>
              <w:t>7台/增加5台，为</w:t>
            </w:r>
            <w:r>
              <w:rPr>
                <w:rFonts w:hint="eastAsia" w:ascii="Times New Roman" w:hAnsi="Times New Roman" w:eastAsia="仿宋_GB2312" w:cs="Times New Roman"/>
                <w:vertAlign w:val="baseline"/>
                <w:lang w:val="en-US" w:eastAsia="zh-CN"/>
              </w:rPr>
              <w:t>装配</w:t>
            </w:r>
            <w:r>
              <w:rPr>
                <w:rFonts w:hint="default" w:ascii="Times New Roman" w:hAnsi="Times New Roman" w:eastAsia="仿宋_GB2312" w:cs="Times New Roman"/>
                <w:vertAlign w:val="baseline"/>
                <w:lang w:val="en-US" w:eastAsia="zh-CN"/>
              </w:rPr>
              <w:t>配套</w:t>
            </w:r>
          </w:p>
        </w:tc>
        <w:tc>
          <w:tcPr>
            <w:tcW w:w="3054"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color w:val="auto"/>
                <w:vertAlign w:val="baseline"/>
                <w:lang w:val="en-US" w:eastAsia="zh-CN"/>
              </w:rPr>
            </w:pPr>
            <w:r>
              <w:rPr>
                <w:rFonts w:hint="default" w:ascii="Times New Roman" w:hAnsi="Times New Roman" w:eastAsia="仿宋_GB2312" w:cs="Times New Roman"/>
                <w:vertAlign w:val="baseline"/>
                <w:lang w:val="en-US" w:eastAsia="zh-CN"/>
              </w:rPr>
              <w:t>空压机规格为</w:t>
            </w:r>
            <w:r>
              <w:rPr>
                <w:rFonts w:hint="default" w:ascii="Times New Roman" w:hAnsi="Times New Roman" w:eastAsia="仿宋_GB2312" w:cs="Times New Roman"/>
                <w:color w:val="auto"/>
                <w:szCs w:val="21"/>
              </w:rPr>
              <w:t>18.5KW/2Nm</w:t>
            </w:r>
            <w:r>
              <w:rPr>
                <w:rFonts w:hint="default" w:ascii="Times New Roman" w:hAnsi="Times New Roman" w:eastAsia="仿宋_GB2312" w:cs="Times New Roman"/>
                <w:color w:val="auto"/>
                <w:szCs w:val="21"/>
                <w:vertAlign w:val="superscript"/>
              </w:rPr>
              <w:t>3</w:t>
            </w:r>
            <w:r>
              <w:rPr>
                <w:rFonts w:hint="default" w:ascii="Times New Roman" w:hAnsi="Times New Roman" w:eastAsia="仿宋_GB2312" w:cs="Times New Roman"/>
                <w:color w:val="auto"/>
                <w:szCs w:val="21"/>
              </w:rPr>
              <w:t>/min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3"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9</w:t>
            </w:r>
          </w:p>
        </w:tc>
        <w:tc>
          <w:tcPr>
            <w:tcW w:w="2877"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color w:val="auto"/>
                <w:vertAlign w:val="baseline"/>
                <w:lang w:val="en-US" w:eastAsia="zh-CN"/>
              </w:rPr>
              <w:t>烘干废气/</w:t>
            </w:r>
            <w:r>
              <w:rPr>
                <w:rFonts w:hint="default" w:ascii="Times New Roman" w:hAnsi="Times New Roman" w:eastAsia="仿宋_GB2312" w:cs="Times New Roman"/>
                <w:vertAlign w:val="baseline"/>
                <w:lang w:val="en-US" w:eastAsia="zh-CN"/>
              </w:rPr>
              <w:t>“水喷淋+UV光催化”装置+15m高排气筒1套</w:t>
            </w:r>
          </w:p>
        </w:tc>
        <w:tc>
          <w:tcPr>
            <w:tcW w:w="215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eastAsia" w:ascii="Times New Roman" w:hAnsi="Times New Roman" w:eastAsia="仿宋_GB2312" w:cs="Times New Roman"/>
                <w:vertAlign w:val="baseline"/>
                <w:lang w:val="en-US" w:eastAsia="zh-CN"/>
              </w:rPr>
              <w:t>烘干废气和天然气燃烧混合废气/</w:t>
            </w:r>
            <w:r>
              <w:rPr>
                <w:rFonts w:hint="default" w:ascii="Times New Roman" w:hAnsi="Times New Roman" w:eastAsia="仿宋_GB2312" w:cs="Times New Roman"/>
                <w:vertAlign w:val="baseline"/>
                <w:lang w:val="en-US" w:eastAsia="zh-CN"/>
              </w:rPr>
              <w:t>“水喷淋+UV光催化”装置</w:t>
            </w:r>
            <w:r>
              <w:rPr>
                <w:rFonts w:hint="eastAsia" w:ascii="Times New Roman" w:hAnsi="Times New Roman" w:eastAsia="仿宋_GB2312" w:cs="Times New Roman"/>
                <w:vertAlign w:val="subscript"/>
                <w:lang w:val="en-US" w:eastAsia="zh-CN"/>
              </w:rPr>
              <w:t>+</w:t>
            </w:r>
            <w:r>
              <w:rPr>
                <w:rFonts w:hint="default" w:ascii="Times New Roman" w:hAnsi="Times New Roman" w:eastAsia="仿宋_GB2312" w:cs="Times New Roman"/>
                <w:vertAlign w:val="baseline"/>
                <w:lang w:val="en-US" w:eastAsia="zh-CN"/>
              </w:rPr>
              <w:t>15m高排气筒</w:t>
            </w:r>
          </w:p>
        </w:tc>
        <w:tc>
          <w:tcPr>
            <w:tcW w:w="1556"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烘干烤炉利用天然气燃烧热气（废气）对工件进行烘烤</w:t>
            </w:r>
          </w:p>
        </w:tc>
        <w:tc>
          <w:tcPr>
            <w:tcW w:w="1498"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环评中为4#排气筒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3" w:hRule="atLeast"/>
        </w:trPr>
        <w:tc>
          <w:tcPr>
            <w:tcW w:w="695" w:type="dxa"/>
            <w:noWrap w:val="0"/>
            <w:vAlign w:val="center"/>
          </w:tcPr>
          <w:p>
            <w:pPr>
              <w:jc w:val="center"/>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10</w:t>
            </w:r>
          </w:p>
        </w:tc>
        <w:tc>
          <w:tcPr>
            <w:tcW w:w="2877"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color w:val="auto"/>
                <w:vertAlign w:val="baseline"/>
                <w:lang w:val="en-US" w:eastAsia="zh-CN"/>
              </w:rPr>
              <w:t>天然气燃烧废气（烘干工段）处理/</w:t>
            </w:r>
            <w:r>
              <w:rPr>
                <w:rFonts w:hint="default" w:ascii="Times New Roman" w:hAnsi="Times New Roman" w:eastAsia="仿宋_GB2312" w:cs="Times New Roman"/>
                <w:vertAlign w:val="baseline"/>
                <w:lang w:val="en-US" w:eastAsia="zh-CN"/>
              </w:rPr>
              <w:t>15m高排气筒4根</w:t>
            </w:r>
          </w:p>
        </w:tc>
        <w:tc>
          <w:tcPr>
            <w:tcW w:w="215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p>
        </w:tc>
        <w:tc>
          <w:tcPr>
            <w:tcW w:w="1556"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p>
        </w:tc>
        <w:tc>
          <w:tcPr>
            <w:tcW w:w="1498" w:type="dxa"/>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环评中为5#--8#排气筒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3" w:hRule="atLeast"/>
        </w:trPr>
        <w:tc>
          <w:tcPr>
            <w:tcW w:w="8780"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default" w:ascii="Times New Roman" w:hAnsi="Times New Roman" w:eastAsia="仿宋_GB2312" w:cs="Times New Roman"/>
                <w:vertAlign w:val="baseline"/>
                <w:lang w:val="en-US" w:eastAsia="zh-CN"/>
              </w:rPr>
            </w:pPr>
            <w:r>
              <w:rPr>
                <w:rFonts w:hint="default" w:ascii="Times New Roman" w:hAnsi="Times New Roman" w:eastAsia="仿宋_GB2312" w:cs="Times New Roman"/>
                <w:vertAlign w:val="baseline"/>
                <w:lang w:val="en-US" w:eastAsia="zh-CN"/>
              </w:rPr>
              <w:t>其它工程内容与环评一致</w:t>
            </w:r>
          </w:p>
        </w:tc>
      </w:tr>
    </w:tbl>
    <w:p>
      <w:pPr>
        <w:pStyle w:val="2"/>
        <w:rPr>
          <w:rFonts w:hint="eastAsia"/>
          <w:lang w:val="en-US" w:eastAsia="zh-CN"/>
        </w:rPr>
      </w:pPr>
      <w:r>
        <w:rPr>
          <w:rFonts w:hint="eastAsia"/>
          <w:lang w:val="en-US" w:eastAsia="zh-CN"/>
        </w:rPr>
        <w:t xml:space="preserve">    </w:t>
      </w:r>
    </w:p>
    <w:p>
      <w:pPr>
        <w:spacing w:line="500" w:lineRule="exact"/>
        <w:ind w:firstLine="480" w:firstLineChars="200"/>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对照苏环办﹝2015﹞256号文件，</w:t>
      </w:r>
      <w:r>
        <w:rPr>
          <w:rFonts w:hint="eastAsia" w:asciiTheme="minorEastAsia" w:hAnsiTheme="minorEastAsia" w:eastAsiaTheme="minorEastAsia" w:cstheme="minorEastAsia"/>
          <w:sz w:val="24"/>
          <w:szCs w:val="22"/>
          <w:lang w:eastAsia="zh-CN"/>
        </w:rPr>
        <w:t>项目</w:t>
      </w:r>
      <w:r>
        <w:rPr>
          <w:rFonts w:hint="eastAsia" w:asciiTheme="minorEastAsia" w:hAnsiTheme="minorEastAsia" w:eastAsiaTheme="minorEastAsia" w:cstheme="minorEastAsia"/>
          <w:sz w:val="24"/>
          <w:szCs w:val="22"/>
        </w:rPr>
        <w:t>建设</w:t>
      </w:r>
      <w:r>
        <w:rPr>
          <w:rFonts w:hint="eastAsia" w:asciiTheme="minorEastAsia" w:hAnsiTheme="minorEastAsia" w:eastAsiaTheme="minorEastAsia" w:cstheme="minorEastAsia"/>
          <w:sz w:val="24"/>
          <w:szCs w:val="22"/>
          <w:lang w:eastAsia="zh-CN"/>
        </w:rPr>
        <w:t>变动</w:t>
      </w:r>
      <w:r>
        <w:rPr>
          <w:rFonts w:hint="eastAsia" w:asciiTheme="minorEastAsia" w:hAnsiTheme="minorEastAsia" w:eastAsiaTheme="minorEastAsia" w:cstheme="minorEastAsia"/>
          <w:sz w:val="24"/>
          <w:szCs w:val="22"/>
        </w:rPr>
        <w:t>情况说明如下：</w:t>
      </w:r>
    </w:p>
    <w:p>
      <w:pPr>
        <w:pStyle w:val="7"/>
        <w:bidi w:val="0"/>
        <w:rPr>
          <w:rFonts w:hint="eastAsia"/>
          <w:lang w:eastAsia="zh-CN"/>
        </w:rPr>
      </w:pPr>
      <w:r>
        <w:t>表</w:t>
      </w:r>
      <w:r>
        <w:rPr>
          <w:rFonts w:hint="eastAsia"/>
          <w:lang w:eastAsia="zh-CN"/>
        </w:rPr>
        <w:t>3-2-</w:t>
      </w:r>
      <w:r>
        <w:rPr>
          <w:rFonts w:hint="eastAsia"/>
          <w:lang w:val="en-US" w:eastAsia="zh-CN"/>
        </w:rPr>
        <w:t>2</w:t>
      </w:r>
      <w:r>
        <w:rPr>
          <w:rFonts w:hint="eastAsia"/>
          <w:lang w:eastAsia="zh-CN"/>
        </w:rPr>
        <w:t xml:space="preserve">  对照苏环办﹝2015﹞256号文件的说明</w:t>
      </w:r>
    </w:p>
    <w:tbl>
      <w:tblPr>
        <w:tblStyle w:val="23"/>
        <w:tblW w:w="90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4009"/>
        <w:gridCol w:w="4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trPr>
        <w:tc>
          <w:tcPr>
            <w:tcW w:w="4742" w:type="dxa"/>
            <w:gridSpan w:val="2"/>
            <w:noWrap w:val="0"/>
            <w:vAlign w:val="center"/>
          </w:tcPr>
          <w:p>
            <w:pPr>
              <w:adjustRightInd w:val="0"/>
              <w:snapToGrid w:val="0"/>
              <w:jc w:val="center"/>
              <w:rPr>
                <w:rFonts w:hint="eastAsia" w:ascii="Times New Roman" w:hAnsi="Times New Roman" w:eastAsia="仿宋_GB2312"/>
              </w:rPr>
            </w:pPr>
            <w:r>
              <w:rPr>
                <w:rFonts w:ascii="Times New Roman" w:hAnsi="Times New Roman" w:eastAsia="仿宋_GB2312"/>
              </w:rPr>
              <w:t>苏环办</w:t>
            </w:r>
            <w:r>
              <w:rPr>
                <w:rFonts w:ascii="Times New Roman" w:hAnsi="Times New Roman" w:eastAsia="微软雅黑"/>
              </w:rPr>
              <w:t>﹝</w:t>
            </w:r>
            <w:r>
              <w:rPr>
                <w:rFonts w:ascii="Times New Roman" w:hAnsi="Times New Roman" w:eastAsia="仿宋_GB2312"/>
              </w:rPr>
              <w:t>2015</w:t>
            </w:r>
            <w:r>
              <w:rPr>
                <w:rFonts w:ascii="Times New Roman" w:hAnsi="Times New Roman" w:eastAsia="微软雅黑"/>
              </w:rPr>
              <w:t>﹞</w:t>
            </w:r>
            <w:r>
              <w:rPr>
                <w:rFonts w:ascii="Times New Roman" w:hAnsi="Times New Roman" w:eastAsia="仿宋_GB2312"/>
              </w:rPr>
              <w:t>256号文</w:t>
            </w:r>
            <w:r>
              <w:rPr>
                <w:rFonts w:hint="eastAsia" w:ascii="Times New Roman" w:hAnsi="Times New Roman" w:eastAsia="仿宋_GB2312"/>
              </w:rPr>
              <w:t>关于重大</w:t>
            </w:r>
            <w:r>
              <w:rPr>
                <w:rFonts w:ascii="Times New Roman" w:hAnsi="Times New Roman" w:eastAsia="仿宋_GB2312"/>
              </w:rPr>
              <w:t>变动的界定</w:t>
            </w:r>
          </w:p>
        </w:tc>
        <w:tc>
          <w:tcPr>
            <w:tcW w:w="4278" w:type="dxa"/>
            <w:noWrap w:val="0"/>
            <w:vAlign w:val="center"/>
          </w:tcPr>
          <w:p>
            <w:pPr>
              <w:adjustRightInd w:val="0"/>
              <w:snapToGrid w:val="0"/>
              <w:jc w:val="center"/>
              <w:rPr>
                <w:rFonts w:ascii="Times New Roman" w:hAnsi="Times New Roman" w:eastAsia="仿宋_GB2312"/>
              </w:rPr>
            </w:pPr>
            <w:r>
              <w:rPr>
                <w:rFonts w:ascii="Times New Roman" w:hAnsi="Times New Roman" w:eastAsia="仿宋_GB2312"/>
              </w:rPr>
              <w:t>本项目实际建设情况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trPr>
        <w:tc>
          <w:tcPr>
            <w:tcW w:w="733" w:type="dxa"/>
            <w:noWrap w:val="0"/>
            <w:vAlign w:val="center"/>
          </w:tcPr>
          <w:p>
            <w:pPr>
              <w:adjustRightInd w:val="0"/>
              <w:snapToGrid w:val="0"/>
              <w:rPr>
                <w:rFonts w:hint="eastAsia" w:ascii="Times New Roman" w:hAnsi="Times New Roman" w:eastAsia="仿宋_GB2312"/>
              </w:rPr>
            </w:pPr>
            <w:r>
              <w:rPr>
                <w:rFonts w:ascii="Times New Roman" w:hAnsi="Times New Roman" w:eastAsia="仿宋_GB2312"/>
              </w:rPr>
              <w:t>性质</w:t>
            </w: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1.主要产品品种发生变化（变少的除外）。</w:t>
            </w:r>
          </w:p>
        </w:tc>
        <w:tc>
          <w:tcPr>
            <w:tcW w:w="4278" w:type="dxa"/>
            <w:noWrap w:val="0"/>
            <w:vAlign w:val="center"/>
          </w:tcPr>
          <w:p>
            <w:pPr>
              <w:adjustRightInd w:val="0"/>
              <w:snapToGrid w:val="0"/>
              <w:jc w:val="center"/>
              <w:rPr>
                <w:rFonts w:ascii="Times New Roman" w:hAnsi="Times New Roman" w:eastAsia="仿宋_GB2312"/>
              </w:rPr>
            </w:pPr>
            <w:r>
              <w:rPr>
                <w:rFonts w:ascii="Times New Roman" w:hAnsi="Times New Roman" w:eastAsia="仿宋_GB2312"/>
              </w:rPr>
              <w:t>产品为</w:t>
            </w:r>
            <w:r>
              <w:rPr>
                <w:rFonts w:hint="eastAsia" w:ascii="Times New Roman" w:hAnsi="Times New Roman" w:eastAsia="仿宋_GB2312"/>
              </w:rPr>
              <w:t>自行车</w:t>
            </w:r>
            <w:r>
              <w:rPr>
                <w:rFonts w:ascii="Times New Roman" w:hAnsi="Times New Roman" w:eastAsia="仿宋_GB2312"/>
              </w:rPr>
              <w:t>，</w:t>
            </w:r>
            <w:r>
              <w:rPr>
                <w:rFonts w:hint="eastAsia" w:ascii="Times New Roman" w:hAnsi="Times New Roman" w:eastAsia="仿宋_GB2312"/>
                <w:lang w:eastAsia="zh-CN"/>
              </w:rPr>
              <w:t>未</w:t>
            </w:r>
            <w:r>
              <w:rPr>
                <w:rFonts w:ascii="Times New Roman" w:hAnsi="Times New Roman" w:eastAsia="仿宋_GB2312"/>
              </w:rPr>
              <w:t>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trPr>
        <w:tc>
          <w:tcPr>
            <w:tcW w:w="733" w:type="dxa"/>
            <w:vMerge w:val="restart"/>
            <w:noWrap w:val="0"/>
            <w:vAlign w:val="center"/>
          </w:tcPr>
          <w:p>
            <w:pPr>
              <w:adjustRightInd w:val="0"/>
              <w:snapToGrid w:val="0"/>
              <w:rPr>
                <w:rFonts w:hint="eastAsia" w:ascii="Times New Roman" w:hAnsi="Times New Roman" w:eastAsia="仿宋_GB2312"/>
              </w:rPr>
            </w:pPr>
            <w:r>
              <w:rPr>
                <w:rFonts w:ascii="Times New Roman" w:hAnsi="Times New Roman" w:eastAsia="仿宋_GB2312"/>
              </w:rPr>
              <w:t>规模</w:t>
            </w: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2.生产能力增加30%及以上。</w:t>
            </w:r>
          </w:p>
        </w:tc>
        <w:tc>
          <w:tcPr>
            <w:tcW w:w="4278" w:type="dxa"/>
            <w:noWrap w:val="0"/>
            <w:vAlign w:val="center"/>
          </w:tcPr>
          <w:p>
            <w:pPr>
              <w:adjustRightInd w:val="0"/>
              <w:snapToGrid w:val="0"/>
              <w:jc w:val="center"/>
              <w:rPr>
                <w:rFonts w:ascii="Times New Roman" w:hAnsi="Times New Roman" w:eastAsia="仿宋_GB2312"/>
              </w:rPr>
            </w:pPr>
            <w:r>
              <w:rPr>
                <w:rFonts w:ascii="Times New Roman" w:hAnsi="Times New Roman" w:eastAsia="仿宋_GB2312"/>
              </w:rPr>
              <w:t>生产能力为40万</w:t>
            </w:r>
            <w:r>
              <w:rPr>
                <w:rFonts w:hint="eastAsia" w:ascii="Times New Roman" w:hAnsi="Times New Roman" w:eastAsia="仿宋_GB2312"/>
              </w:rPr>
              <w:t>辆</w:t>
            </w:r>
            <w:r>
              <w:rPr>
                <w:rFonts w:ascii="Times New Roman" w:hAnsi="Times New Roman" w:eastAsia="仿宋_GB2312"/>
              </w:rPr>
              <w:t>/年，</w:t>
            </w:r>
            <w:r>
              <w:rPr>
                <w:rFonts w:hint="eastAsia" w:ascii="Times New Roman" w:hAnsi="Times New Roman" w:eastAsia="仿宋_GB2312"/>
                <w:lang w:eastAsia="zh-CN"/>
              </w:rPr>
              <w:t>未</w:t>
            </w:r>
            <w:r>
              <w:rPr>
                <w:rFonts w:ascii="Times New Roman" w:hAnsi="Times New Roman" w:eastAsia="仿宋_GB2312"/>
              </w:rPr>
              <w:t>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47" w:hRule="atLeast"/>
        </w:trPr>
        <w:tc>
          <w:tcPr>
            <w:tcW w:w="733" w:type="dxa"/>
            <w:vMerge w:val="continue"/>
            <w:noWrap w:val="0"/>
            <w:vAlign w:val="center"/>
          </w:tcPr>
          <w:p>
            <w:pPr>
              <w:adjustRightInd w:val="0"/>
              <w:snapToGrid w:val="0"/>
              <w:rPr>
                <w:rFonts w:ascii="Times New Roman" w:hAnsi="Times New Roman" w:eastAsia="仿宋_GB2312"/>
              </w:rPr>
            </w:pP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3.配套的仓储设施（储存危险化学品或其他环境风险大的物品）总储存容量增加30%及以上。</w:t>
            </w:r>
          </w:p>
        </w:tc>
        <w:tc>
          <w:tcPr>
            <w:tcW w:w="4278" w:type="dxa"/>
            <w:noWrap w:val="0"/>
            <w:vAlign w:val="center"/>
          </w:tcPr>
          <w:p>
            <w:pPr>
              <w:adjustRightInd w:val="0"/>
              <w:snapToGrid w:val="0"/>
              <w:ind w:firstLine="630" w:firstLineChars="300"/>
              <w:rPr>
                <w:rFonts w:ascii="Times New Roman" w:hAnsi="Times New Roman" w:eastAsia="仿宋_GB2312"/>
              </w:rPr>
            </w:pPr>
            <w:r>
              <w:rPr>
                <w:rFonts w:ascii="Times New Roman" w:hAnsi="Times New Roman" w:eastAsia="仿宋_GB2312"/>
                <w:color w:val="auto"/>
              </w:rPr>
              <w:t>配套的仓储设施总储存容量</w:t>
            </w:r>
            <w:r>
              <w:rPr>
                <w:rFonts w:hint="eastAsia" w:ascii="Times New Roman" w:hAnsi="Times New Roman" w:eastAsia="仿宋_GB2312"/>
                <w:color w:val="auto"/>
                <w:lang w:eastAsia="zh-CN"/>
              </w:rPr>
              <w:t>变小</w:t>
            </w:r>
            <w:r>
              <w:rPr>
                <w:rFonts w:ascii="Times New Roman" w:hAnsi="Times New Roman" w:eastAsia="仿宋_GB2312"/>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25" w:hRule="atLeast"/>
        </w:trPr>
        <w:tc>
          <w:tcPr>
            <w:tcW w:w="733" w:type="dxa"/>
            <w:vMerge w:val="continue"/>
            <w:noWrap w:val="0"/>
            <w:vAlign w:val="center"/>
          </w:tcPr>
          <w:p>
            <w:pPr>
              <w:adjustRightInd w:val="0"/>
              <w:snapToGrid w:val="0"/>
              <w:rPr>
                <w:rFonts w:ascii="Times New Roman" w:hAnsi="Times New Roman" w:eastAsia="仿宋_GB2312"/>
              </w:rPr>
            </w:pP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4.新增生产装置，导致新增污染因子或污染物排放量增加；原有生产装置规模增加30%及以上，导致新增污染因子或污染物排放量增加。</w:t>
            </w:r>
          </w:p>
        </w:tc>
        <w:tc>
          <w:tcPr>
            <w:tcW w:w="4278" w:type="dxa"/>
            <w:noWrap w:val="0"/>
            <w:vAlign w:val="center"/>
          </w:tcPr>
          <w:p>
            <w:pPr>
              <w:adjustRightInd w:val="0"/>
              <w:snapToGrid w:val="0"/>
              <w:rPr>
                <w:rFonts w:hint="eastAsia" w:ascii="Times New Roman" w:hAnsi="Times New Roman" w:eastAsia="仿宋_GB2312"/>
                <w:lang w:eastAsia="zh-CN"/>
              </w:rPr>
            </w:pPr>
            <w:r>
              <w:rPr>
                <w:rFonts w:hint="eastAsia" w:ascii="Times New Roman" w:hAnsi="Times New Roman" w:eastAsia="仿宋_GB2312"/>
                <w:color w:val="auto"/>
                <w:lang w:eastAsia="zh-CN"/>
              </w:rPr>
              <w:t>根据客户产品种类新增</w:t>
            </w:r>
            <w:r>
              <w:rPr>
                <w:rFonts w:hint="eastAsia" w:ascii="Times New Roman" w:hAnsi="Times New Roman" w:eastAsia="仿宋_GB2312"/>
                <w:color w:val="auto"/>
                <w:lang w:val="en-US" w:eastAsia="zh-CN"/>
              </w:rPr>
              <w:t>4条装配线，</w:t>
            </w:r>
            <w:r>
              <w:rPr>
                <w:rFonts w:ascii="Times New Roman" w:hAnsi="Times New Roman" w:eastAsia="仿宋_GB2312"/>
                <w:color w:val="auto"/>
              </w:rPr>
              <w:t>规模</w:t>
            </w:r>
            <w:r>
              <w:rPr>
                <w:rFonts w:hint="eastAsia" w:ascii="Times New Roman" w:hAnsi="Times New Roman" w:eastAsia="仿宋_GB2312"/>
                <w:color w:val="auto"/>
                <w:lang w:eastAsia="zh-CN"/>
              </w:rPr>
              <w:t>及产能</w:t>
            </w:r>
            <w:r>
              <w:rPr>
                <w:rFonts w:ascii="Times New Roman" w:hAnsi="Times New Roman" w:eastAsia="仿宋_GB2312"/>
                <w:color w:val="auto"/>
              </w:rPr>
              <w:t>不变</w:t>
            </w:r>
            <w:r>
              <w:rPr>
                <w:rFonts w:hint="eastAsia" w:ascii="Times New Roman" w:hAnsi="Times New Roman" w:eastAsia="仿宋_GB2312"/>
                <w:color w:val="auto"/>
                <w:lang w:eastAsia="zh-CN"/>
              </w:rPr>
              <w:t>，不新增污染因子和污染物排放量。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trPr>
        <w:tc>
          <w:tcPr>
            <w:tcW w:w="733" w:type="dxa"/>
            <w:vMerge w:val="restart"/>
            <w:noWrap w:val="0"/>
            <w:vAlign w:val="center"/>
          </w:tcPr>
          <w:p>
            <w:pPr>
              <w:adjustRightInd w:val="0"/>
              <w:snapToGrid w:val="0"/>
              <w:rPr>
                <w:rFonts w:hint="eastAsia" w:ascii="Times New Roman" w:hAnsi="Times New Roman" w:eastAsia="仿宋_GB2312"/>
              </w:rPr>
            </w:pPr>
            <w:r>
              <w:rPr>
                <w:rFonts w:ascii="Times New Roman" w:hAnsi="Times New Roman" w:eastAsia="仿宋_GB2312"/>
              </w:rPr>
              <w:t>地点</w:t>
            </w: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5.项目重新选址。</w:t>
            </w:r>
          </w:p>
        </w:tc>
        <w:tc>
          <w:tcPr>
            <w:tcW w:w="4278" w:type="dxa"/>
            <w:noWrap w:val="0"/>
            <w:vAlign w:val="center"/>
          </w:tcPr>
          <w:p>
            <w:pPr>
              <w:adjustRightInd w:val="0"/>
              <w:snapToGrid w:val="0"/>
              <w:jc w:val="center"/>
              <w:rPr>
                <w:rFonts w:ascii="Times New Roman" w:hAnsi="Times New Roman" w:eastAsia="仿宋_GB2312"/>
              </w:rPr>
            </w:pPr>
            <w:r>
              <w:rPr>
                <w:rFonts w:ascii="Times New Roman" w:hAnsi="Times New Roman" w:eastAsia="仿宋_GB2312"/>
              </w:rPr>
              <w:t>未重新选址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733" w:type="dxa"/>
            <w:vMerge w:val="continue"/>
            <w:noWrap w:val="0"/>
            <w:vAlign w:val="center"/>
          </w:tcPr>
          <w:p>
            <w:pPr>
              <w:adjustRightInd w:val="0"/>
              <w:snapToGrid w:val="0"/>
              <w:rPr>
                <w:rFonts w:ascii="Times New Roman" w:hAnsi="Times New Roman" w:eastAsia="仿宋_GB2312"/>
              </w:rPr>
            </w:pP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6.在原厂址内调整（包括总平面布置或生产装置发生变化）导致不利环境影响显著增加。</w:t>
            </w:r>
          </w:p>
        </w:tc>
        <w:tc>
          <w:tcPr>
            <w:tcW w:w="4278" w:type="dxa"/>
            <w:noWrap w:val="0"/>
            <w:vAlign w:val="center"/>
          </w:tcPr>
          <w:p>
            <w:pPr>
              <w:adjustRightInd w:val="0"/>
              <w:snapToGrid w:val="0"/>
              <w:jc w:val="left"/>
              <w:rPr>
                <w:rFonts w:hint="eastAsia" w:ascii="Times New Roman" w:hAnsi="Times New Roman" w:eastAsia="仿宋_GB2312"/>
                <w:lang w:eastAsia="zh-CN"/>
              </w:rPr>
            </w:pPr>
            <w:r>
              <w:rPr>
                <w:rFonts w:ascii="Times New Roman" w:hAnsi="Times New Roman" w:eastAsia="仿宋_GB2312"/>
              </w:rPr>
              <w:t>在原厂址内</w:t>
            </w:r>
            <w:r>
              <w:rPr>
                <w:rFonts w:ascii="Times New Roman" w:hAnsi="Times New Roman" w:eastAsia="仿宋_GB2312"/>
                <w:color w:val="auto"/>
              </w:rPr>
              <w:t>总平面布置</w:t>
            </w:r>
            <w:r>
              <w:rPr>
                <w:rFonts w:hint="eastAsia" w:ascii="Times New Roman" w:hAnsi="Times New Roman" w:eastAsia="仿宋_GB2312"/>
                <w:color w:val="auto"/>
                <w:lang w:eastAsia="zh-CN"/>
              </w:rPr>
              <w:t>有所调整、新增</w:t>
            </w:r>
            <w:r>
              <w:rPr>
                <w:rFonts w:hint="eastAsia" w:ascii="Times New Roman" w:hAnsi="Times New Roman" w:eastAsia="仿宋_GB2312"/>
                <w:color w:val="auto"/>
                <w:lang w:val="en-US" w:eastAsia="zh-CN"/>
              </w:rPr>
              <w:t>4条装配线，</w:t>
            </w:r>
            <w:r>
              <w:rPr>
                <w:rFonts w:ascii="Times New Roman" w:hAnsi="Times New Roman" w:eastAsia="仿宋_GB2312"/>
                <w:color w:val="auto"/>
              </w:rPr>
              <w:t>未</w:t>
            </w:r>
            <w:r>
              <w:rPr>
                <w:rFonts w:ascii="Times New Roman" w:hAnsi="Times New Roman" w:eastAsia="仿宋_GB2312"/>
              </w:rPr>
              <w:t>导致不利环境影响</w:t>
            </w:r>
            <w:r>
              <w:rPr>
                <w:rFonts w:hint="eastAsia" w:ascii="Times New Roman" w:hAnsi="Times New Roman" w:eastAsia="仿宋_GB231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trPr>
        <w:tc>
          <w:tcPr>
            <w:tcW w:w="733" w:type="dxa"/>
            <w:vMerge w:val="continue"/>
            <w:noWrap w:val="0"/>
            <w:vAlign w:val="center"/>
          </w:tcPr>
          <w:p>
            <w:pPr>
              <w:adjustRightInd w:val="0"/>
              <w:snapToGrid w:val="0"/>
              <w:rPr>
                <w:rFonts w:ascii="Times New Roman" w:hAnsi="Times New Roman" w:eastAsia="仿宋_GB2312"/>
              </w:rPr>
            </w:pP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7.防护距离边界发生变化并新增了敏感点。</w:t>
            </w:r>
          </w:p>
        </w:tc>
        <w:tc>
          <w:tcPr>
            <w:tcW w:w="4278" w:type="dxa"/>
            <w:noWrap w:val="0"/>
            <w:vAlign w:val="center"/>
          </w:tcPr>
          <w:p>
            <w:pPr>
              <w:adjustRightInd w:val="0"/>
              <w:snapToGrid w:val="0"/>
              <w:jc w:val="center"/>
              <w:rPr>
                <w:rFonts w:ascii="Times New Roman" w:hAnsi="Times New Roman" w:eastAsia="仿宋_GB2312"/>
              </w:rPr>
            </w:pPr>
            <w:r>
              <w:rPr>
                <w:rFonts w:ascii="Times New Roman" w:hAnsi="Times New Roman" w:eastAsia="仿宋_GB2312"/>
              </w:rPr>
              <w:t>防护距离边界不变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47" w:hRule="atLeast"/>
        </w:trPr>
        <w:tc>
          <w:tcPr>
            <w:tcW w:w="733" w:type="dxa"/>
            <w:vMerge w:val="continue"/>
            <w:noWrap w:val="0"/>
            <w:vAlign w:val="center"/>
          </w:tcPr>
          <w:p>
            <w:pPr>
              <w:adjustRightInd w:val="0"/>
              <w:snapToGrid w:val="0"/>
              <w:rPr>
                <w:rFonts w:ascii="Times New Roman" w:hAnsi="Times New Roman" w:eastAsia="仿宋_GB2312"/>
              </w:rPr>
            </w:pPr>
          </w:p>
        </w:tc>
        <w:tc>
          <w:tcPr>
            <w:tcW w:w="4009" w:type="dxa"/>
            <w:noWrap w:val="0"/>
            <w:vAlign w:val="center"/>
          </w:tcPr>
          <w:p>
            <w:pPr>
              <w:adjustRightInd w:val="0"/>
              <w:snapToGrid w:val="0"/>
              <w:rPr>
                <w:rFonts w:ascii="Times New Roman" w:hAnsi="Times New Roman" w:eastAsia="仿宋_GB2312"/>
              </w:rPr>
            </w:pPr>
            <w:r>
              <w:rPr>
                <w:rFonts w:ascii="Times New Roman" w:hAnsi="Times New Roman" w:eastAsia="仿宋_GB2312"/>
              </w:rPr>
              <w:t>8.厂外管线路由调整，穿越新的环境敏感区；在现有环境敏感区内路由发生变动且环境影响或环境风险显著增大。</w:t>
            </w:r>
          </w:p>
        </w:tc>
        <w:tc>
          <w:tcPr>
            <w:tcW w:w="4278" w:type="dxa"/>
            <w:noWrap w:val="0"/>
            <w:vAlign w:val="center"/>
          </w:tcPr>
          <w:p>
            <w:pPr>
              <w:adjustRightInd w:val="0"/>
              <w:snapToGrid w:val="0"/>
              <w:jc w:val="center"/>
              <w:rPr>
                <w:rFonts w:ascii="Times New Roman" w:hAnsi="Times New Roman" w:eastAsia="仿宋_GB2312"/>
              </w:rPr>
            </w:pPr>
            <w:r>
              <w:rPr>
                <w:rFonts w:ascii="Times New Roman" w:hAnsi="Times New Roman" w:eastAsia="仿宋_GB2312"/>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04" w:hRule="atLeast"/>
        </w:trPr>
        <w:tc>
          <w:tcPr>
            <w:tcW w:w="733" w:type="dxa"/>
            <w:noWrap w:val="0"/>
            <w:vAlign w:val="center"/>
          </w:tcPr>
          <w:p>
            <w:pPr>
              <w:adjustRightInd w:val="0"/>
              <w:snapToGrid w:val="0"/>
              <w:rPr>
                <w:rFonts w:hint="eastAsia" w:ascii="Times New Roman" w:hAnsi="Times New Roman" w:eastAsia="仿宋_GB2312"/>
              </w:rPr>
            </w:pPr>
            <w:r>
              <w:rPr>
                <w:rFonts w:ascii="Times New Roman" w:hAnsi="Times New Roman" w:eastAsia="仿宋_GB2312"/>
              </w:rPr>
              <w:t>生产工艺</w:t>
            </w:r>
          </w:p>
        </w:tc>
        <w:tc>
          <w:tcPr>
            <w:tcW w:w="4009" w:type="dxa"/>
            <w:noWrap w:val="0"/>
            <w:vAlign w:val="center"/>
          </w:tcPr>
          <w:p>
            <w:pPr>
              <w:adjustRightInd w:val="0"/>
              <w:snapToGrid w:val="0"/>
              <w:rPr>
                <w:rFonts w:ascii="Times New Roman" w:hAnsi="Times New Roman" w:eastAsia="仿宋_GB2312"/>
                <w:color w:val="auto"/>
              </w:rPr>
            </w:pPr>
            <w:r>
              <w:rPr>
                <w:rFonts w:ascii="Times New Roman" w:hAnsi="Times New Roman" w:eastAsia="仿宋_GB2312"/>
                <w:color w:val="auto"/>
              </w:rPr>
              <w:t>9.主要生产装置类型、主要原辅材料类型、主要燃料类型、以及其他生产工艺和技术调整且导致新增污染因子或污染物排放量增加。</w:t>
            </w:r>
          </w:p>
        </w:tc>
        <w:tc>
          <w:tcPr>
            <w:tcW w:w="4278" w:type="dxa"/>
            <w:noWrap w:val="0"/>
            <w:vAlign w:val="center"/>
          </w:tcPr>
          <w:p>
            <w:pPr>
              <w:adjustRightInd w:val="0"/>
              <w:snapToGrid w:val="0"/>
              <w:rPr>
                <w:rFonts w:ascii="Times New Roman" w:hAnsi="Times New Roman" w:eastAsia="仿宋_GB2312"/>
                <w:color w:val="auto"/>
              </w:rPr>
            </w:pPr>
            <w:r>
              <w:rPr>
                <w:rFonts w:hint="eastAsia" w:ascii="Times New Roman" w:hAnsi="Times New Roman" w:eastAsia="仿宋_GB2312"/>
                <w:color w:val="auto"/>
              </w:rPr>
              <w:t>生产装置类型、主要原辅材料类型、主要燃料类型不变</w:t>
            </w:r>
            <w:r>
              <w:rPr>
                <w:rFonts w:ascii="Times New Roman" w:hAnsi="Times New Roman" w:eastAsia="仿宋_GB2312"/>
                <w:color w:val="auto"/>
              </w:rPr>
              <w:t>，</w:t>
            </w:r>
            <w:r>
              <w:rPr>
                <w:rFonts w:hint="eastAsia" w:ascii="Times New Roman" w:hAnsi="Times New Roman" w:eastAsia="仿宋_GB2312"/>
                <w:b/>
                <w:color w:val="auto"/>
              </w:rPr>
              <w:t>湿式前处理生产线暂未运营</w:t>
            </w:r>
            <w:r>
              <w:rPr>
                <w:rFonts w:ascii="Times New Roman" w:hAnsi="Times New Roman" w:eastAsia="仿宋_GB2312"/>
                <w:b/>
                <w:color w:val="auto"/>
              </w:rPr>
              <w:t>，</w:t>
            </w:r>
            <w:r>
              <w:rPr>
                <w:rFonts w:hint="eastAsia" w:ascii="Times New Roman" w:hAnsi="Times New Roman" w:eastAsia="仿宋_GB2312"/>
                <w:b/>
                <w:color w:val="auto"/>
              </w:rPr>
              <w:t>计划</w:t>
            </w:r>
            <w:r>
              <w:rPr>
                <w:rFonts w:ascii="Times New Roman" w:hAnsi="Times New Roman" w:eastAsia="仿宋_GB2312"/>
                <w:b/>
                <w:color w:val="auto"/>
              </w:rPr>
              <w:t>分期</w:t>
            </w:r>
            <w:r>
              <w:rPr>
                <w:rFonts w:hint="eastAsia" w:ascii="Times New Roman" w:hAnsi="Times New Roman" w:eastAsia="仿宋_GB2312"/>
                <w:b/>
                <w:color w:val="auto"/>
                <w:lang w:eastAsia="zh-CN"/>
              </w:rPr>
              <w:t>投运</w:t>
            </w:r>
            <w:r>
              <w:rPr>
                <w:rFonts w:ascii="Times New Roman" w:hAnsi="Times New Roman" w:eastAsia="仿宋_GB2312"/>
                <w:b/>
                <w:color w:val="auto"/>
              </w:rPr>
              <w:t>；</w:t>
            </w:r>
            <w:r>
              <w:rPr>
                <w:rFonts w:hint="eastAsia" w:ascii="Times New Roman" w:hAnsi="Times New Roman" w:eastAsia="仿宋_GB2312"/>
                <w:b/>
                <w:color w:val="auto"/>
              </w:rPr>
              <w:t>涂装部分贴花与面漆</w:t>
            </w:r>
            <w:r>
              <w:rPr>
                <w:rFonts w:hint="eastAsia" w:ascii="Times New Roman" w:hAnsi="Times New Roman" w:eastAsia="仿宋_GB2312"/>
                <w:b/>
                <w:color w:val="auto"/>
                <w:lang w:eastAsia="zh-CN"/>
              </w:rPr>
              <w:t>先后</w:t>
            </w:r>
            <w:r>
              <w:rPr>
                <w:rFonts w:hint="eastAsia" w:ascii="Times New Roman" w:hAnsi="Times New Roman" w:eastAsia="仿宋_GB2312"/>
                <w:b/>
                <w:color w:val="auto"/>
              </w:rPr>
              <w:t>顺序调整</w:t>
            </w:r>
            <w:r>
              <w:rPr>
                <w:rFonts w:hint="eastAsia" w:ascii="Times New Roman" w:hAnsi="Times New Roman" w:eastAsia="仿宋_GB2312"/>
                <w:color w:val="auto"/>
              </w:rPr>
              <w:t>。</w:t>
            </w:r>
          </w:p>
          <w:p>
            <w:pPr>
              <w:adjustRightInd w:val="0"/>
              <w:snapToGrid w:val="0"/>
              <w:rPr>
                <w:rFonts w:ascii="Times New Roman" w:hAnsi="Times New Roman" w:eastAsia="仿宋_GB2312"/>
                <w:color w:val="auto"/>
              </w:rPr>
            </w:pPr>
            <w:r>
              <w:rPr>
                <w:rFonts w:hint="eastAsia" w:ascii="Times New Roman" w:hAnsi="Times New Roman" w:eastAsia="仿宋_GB2312"/>
                <w:color w:val="auto"/>
              </w:rPr>
              <w:t>调整后</w:t>
            </w:r>
            <w:r>
              <w:rPr>
                <w:rFonts w:ascii="Times New Roman" w:hAnsi="Times New Roman" w:eastAsia="仿宋_GB2312"/>
                <w:color w:val="auto"/>
              </w:rPr>
              <w:t>，</w:t>
            </w:r>
            <w:r>
              <w:rPr>
                <w:rFonts w:hint="eastAsia" w:ascii="Times New Roman" w:hAnsi="Times New Roman" w:eastAsia="仿宋_GB2312"/>
                <w:color w:val="auto"/>
              </w:rPr>
              <w:t>污染物产生排放情况不变（</w:t>
            </w:r>
            <w:r>
              <w:rPr>
                <w:rFonts w:hint="eastAsia" w:ascii="Times New Roman" w:hAnsi="Times New Roman" w:eastAsia="仿宋_GB2312"/>
                <w:b/>
                <w:color w:val="auto"/>
              </w:rPr>
              <w:t>不新增</w:t>
            </w:r>
            <w:r>
              <w:rPr>
                <w:rFonts w:ascii="Times New Roman" w:hAnsi="Times New Roman" w:eastAsia="仿宋_GB2312"/>
                <w:b/>
                <w:color w:val="auto"/>
              </w:rPr>
              <w:t>污染因子，污染物排放量不变</w:t>
            </w:r>
            <w:r>
              <w:rPr>
                <w:rFonts w:hint="eastAsia" w:ascii="Times New Roman" w:hAnsi="Times New Roman" w:eastAsia="仿宋_GB2312"/>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51" w:hRule="atLeast"/>
        </w:trPr>
        <w:tc>
          <w:tcPr>
            <w:tcW w:w="733" w:type="dxa"/>
            <w:noWrap w:val="0"/>
            <w:vAlign w:val="center"/>
          </w:tcPr>
          <w:p>
            <w:pPr>
              <w:adjustRightInd w:val="0"/>
              <w:snapToGrid w:val="0"/>
              <w:rPr>
                <w:rFonts w:hint="eastAsia" w:ascii="Times New Roman" w:hAnsi="Times New Roman" w:eastAsia="仿宋_GB2312"/>
              </w:rPr>
            </w:pPr>
            <w:r>
              <w:rPr>
                <w:rFonts w:ascii="Times New Roman" w:hAnsi="Times New Roman" w:eastAsia="仿宋_GB2312"/>
              </w:rPr>
              <w:t>环境保护措施</w:t>
            </w:r>
          </w:p>
        </w:tc>
        <w:tc>
          <w:tcPr>
            <w:tcW w:w="4009" w:type="dxa"/>
            <w:noWrap w:val="0"/>
            <w:vAlign w:val="center"/>
          </w:tcPr>
          <w:p>
            <w:pPr>
              <w:adjustRightInd w:val="0"/>
              <w:snapToGrid w:val="0"/>
              <w:rPr>
                <w:rFonts w:ascii="Times New Roman" w:hAnsi="Times New Roman" w:eastAsia="仿宋_GB2312"/>
                <w:color w:val="auto"/>
              </w:rPr>
            </w:pPr>
            <w:r>
              <w:rPr>
                <w:rFonts w:ascii="Times New Roman" w:hAnsi="Times New Roman" w:eastAsia="仿宋_GB2312"/>
                <w:color w:val="auto"/>
              </w:rPr>
              <w:t>10.污染防治措施的工艺、规模、处置去向、排放形式等调整，导致新增污染因子或污染物排放量、范围或强度增加；其他可能导致环境影响或环境风险增大的环保措施变动。</w:t>
            </w:r>
          </w:p>
        </w:tc>
        <w:tc>
          <w:tcPr>
            <w:tcW w:w="4278" w:type="dxa"/>
            <w:noWrap w:val="0"/>
            <w:vAlign w:val="center"/>
          </w:tcPr>
          <w:p>
            <w:pPr>
              <w:adjustRightInd w:val="0"/>
              <w:snapToGrid w:val="0"/>
              <w:rPr>
                <w:rFonts w:ascii="Times New Roman" w:hAnsi="Times New Roman" w:eastAsia="仿宋_GB2312"/>
                <w:b/>
                <w:color w:val="auto"/>
              </w:rPr>
            </w:pPr>
            <w:r>
              <w:rPr>
                <w:rFonts w:hint="eastAsia" w:ascii="Times New Roman" w:hAnsi="Times New Roman" w:eastAsia="仿宋_GB2312"/>
                <w:color w:val="auto"/>
                <w:lang w:val="en-US" w:eastAsia="zh-CN"/>
              </w:rPr>
              <w:t>调喷漆废气分别经1套“水喷淋”（共3套）处理后合并，经过1套“UV光催化”处理后，通过1#排气筒排放；每套烤炉燃气热气和燃烧废气一起经引风机进入烘干室烘烤工件后，与流平烘干废气混合，混合后的4股废气合并在一起经1套“水喷淋+UV光催化”处理，通过2#排气筒排放。</w:t>
            </w:r>
            <w:r>
              <w:rPr>
                <w:rFonts w:hint="eastAsia" w:ascii="Times New Roman" w:hAnsi="Times New Roman" w:eastAsia="仿宋_GB2312"/>
                <w:b/>
                <w:color w:val="auto"/>
              </w:rPr>
              <w:t>调整后</w:t>
            </w:r>
            <w:r>
              <w:rPr>
                <w:rFonts w:ascii="Times New Roman" w:hAnsi="Times New Roman" w:eastAsia="仿宋_GB2312"/>
                <w:b/>
                <w:color w:val="auto"/>
              </w:rPr>
              <w:t>，</w:t>
            </w:r>
            <w:r>
              <w:rPr>
                <w:rFonts w:hint="eastAsia" w:ascii="Times New Roman" w:hAnsi="Times New Roman" w:eastAsia="仿宋_GB2312"/>
                <w:b/>
                <w:color w:val="auto"/>
              </w:rPr>
              <w:t>污染物产生排放情况不变，环境影响或环境风险不变</w:t>
            </w:r>
            <w:r>
              <w:rPr>
                <w:rFonts w:ascii="Times New Roman" w:hAnsi="Times New Roman" w:eastAsia="仿宋_GB2312"/>
                <w:b/>
                <w:color w:val="auto"/>
              </w:rPr>
              <w:t>。</w:t>
            </w:r>
          </w:p>
        </w:tc>
      </w:tr>
    </w:tbl>
    <w:p>
      <w:pPr>
        <w:spacing w:line="500" w:lineRule="exact"/>
        <w:ind w:firstLine="560" w:firstLineChars="200"/>
        <w:rPr>
          <w:rFonts w:ascii="Times New Roman" w:hAnsi="Times New Roman" w:eastAsia="仿宋_GB2312"/>
          <w:sz w:val="28"/>
          <w:szCs w:val="24"/>
        </w:rPr>
      </w:pPr>
    </w:p>
    <w:p>
      <w:pPr>
        <w:spacing w:line="500" w:lineRule="exact"/>
        <w:ind w:firstLine="562" w:firstLineChars="200"/>
        <w:rPr>
          <w:rFonts w:ascii="Times New Roman" w:hAnsi="Times New Roman" w:eastAsia="仿宋_GB2312"/>
          <w:b/>
          <w:bCs/>
          <w:sz w:val="28"/>
          <w:szCs w:val="24"/>
        </w:rPr>
      </w:pPr>
      <w:r>
        <w:rPr>
          <w:rFonts w:hint="eastAsia" w:ascii="Times New Roman" w:hAnsi="Times New Roman" w:eastAsia="仿宋_GB2312"/>
          <w:b/>
          <w:bCs/>
          <w:sz w:val="28"/>
          <w:szCs w:val="24"/>
          <w:lang w:eastAsia="zh-CN"/>
        </w:rPr>
        <w:t>综上</w:t>
      </w:r>
      <w:r>
        <w:rPr>
          <w:rFonts w:ascii="Times New Roman" w:hAnsi="Times New Roman" w:eastAsia="仿宋_GB2312"/>
          <w:b/>
          <w:bCs/>
          <w:sz w:val="28"/>
          <w:szCs w:val="24"/>
        </w:rPr>
        <w:t>，</w:t>
      </w:r>
      <w:r>
        <w:rPr>
          <w:rFonts w:hint="eastAsia" w:ascii="Times New Roman" w:hAnsi="Times New Roman" w:eastAsia="仿宋_GB2312"/>
          <w:b/>
          <w:bCs/>
          <w:sz w:val="28"/>
          <w:szCs w:val="24"/>
          <w:lang w:eastAsia="zh-CN"/>
        </w:rPr>
        <w:t>“</w:t>
      </w:r>
      <w:r>
        <w:rPr>
          <w:rFonts w:hint="eastAsia" w:ascii="Times New Roman" w:hAnsi="Times New Roman" w:eastAsia="仿宋_GB2312"/>
          <w:b/>
          <w:bCs/>
          <w:sz w:val="28"/>
          <w:szCs w:val="24"/>
        </w:rPr>
        <w:t>年产40万辆自行车生产线项目</w:t>
      </w:r>
      <w:r>
        <w:rPr>
          <w:rFonts w:hint="eastAsia" w:ascii="Times New Roman" w:hAnsi="Times New Roman" w:eastAsia="仿宋_GB2312"/>
          <w:b/>
          <w:bCs/>
          <w:sz w:val="28"/>
          <w:szCs w:val="24"/>
          <w:lang w:eastAsia="zh-CN"/>
        </w:rPr>
        <w:t>”</w:t>
      </w:r>
      <w:r>
        <w:rPr>
          <w:rFonts w:ascii="Times New Roman" w:hAnsi="Times New Roman" w:eastAsia="仿宋_GB2312"/>
          <w:b/>
          <w:bCs/>
          <w:sz w:val="28"/>
          <w:szCs w:val="24"/>
        </w:rPr>
        <w:t>变动</w:t>
      </w:r>
      <w:r>
        <w:rPr>
          <w:rFonts w:hint="eastAsia" w:ascii="Times New Roman" w:hAnsi="Times New Roman" w:eastAsia="仿宋_GB2312"/>
          <w:b/>
          <w:bCs/>
          <w:sz w:val="28"/>
          <w:szCs w:val="24"/>
          <w:lang w:eastAsia="zh-CN"/>
        </w:rPr>
        <w:t>情况</w:t>
      </w:r>
      <w:r>
        <w:rPr>
          <w:rFonts w:ascii="Times New Roman" w:hAnsi="Times New Roman" w:eastAsia="仿宋_GB2312"/>
          <w:b/>
          <w:bCs/>
          <w:sz w:val="28"/>
          <w:szCs w:val="24"/>
        </w:rPr>
        <w:t>对照苏环办</w:t>
      </w:r>
      <w:r>
        <w:rPr>
          <w:rFonts w:hint="eastAsia" w:ascii="Times New Roman" w:hAnsi="Times New Roman" w:eastAsia="仿宋_GB2312"/>
          <w:b/>
          <w:bCs/>
          <w:sz w:val="28"/>
          <w:szCs w:val="24"/>
        </w:rPr>
        <w:t>﹝2015﹞256号</w:t>
      </w:r>
      <w:r>
        <w:rPr>
          <w:rFonts w:ascii="Times New Roman" w:hAnsi="Times New Roman" w:eastAsia="仿宋_GB2312"/>
          <w:b/>
          <w:bCs/>
          <w:sz w:val="28"/>
          <w:szCs w:val="24"/>
        </w:rPr>
        <w:t>文件，不属于重大变动，可纳入竣工环境保护验收管理。</w:t>
      </w:r>
    </w:p>
    <w:p>
      <w:pPr>
        <w:rPr>
          <w:rFonts w:hint="default"/>
          <w:lang w:val="en-US" w:eastAsia="zh-CN"/>
        </w:rPr>
      </w:pPr>
    </w:p>
    <w:p>
      <w:pPr>
        <w:spacing w:line="500" w:lineRule="exact"/>
        <w:ind w:firstLine="480" w:firstLineChars="200"/>
        <w:rPr>
          <w:rFonts w:ascii="Times New Roman" w:hAnsi="Times New Roman" w:cs="Times New Roman"/>
          <w:sz w:val="24"/>
        </w:rPr>
      </w:pPr>
      <w:r>
        <w:rPr>
          <w:rFonts w:ascii="Times New Roman" w:hAnsi="Times New Roman" w:cs="Times New Roman"/>
          <w:sz w:val="24"/>
        </w:rPr>
        <w:t>目前</w:t>
      </w:r>
      <w:r>
        <w:rPr>
          <w:rFonts w:hint="eastAsia" w:ascii="Times New Roman" w:hAnsi="Times New Roman" w:cs="Times New Roman"/>
          <w:sz w:val="24"/>
          <w:lang w:eastAsia="zh-CN"/>
        </w:rPr>
        <w:t>项目定员</w:t>
      </w:r>
      <w:r>
        <w:rPr>
          <w:rFonts w:ascii="Times New Roman" w:hAnsi="Times New Roman" w:cs="Times New Roman"/>
          <w:sz w:val="24"/>
        </w:rPr>
        <w:t>120名，年工作300天，每班8小时，年工作约2400小时。</w:t>
      </w:r>
    </w:p>
    <w:p>
      <w:pPr>
        <w:spacing w:line="500" w:lineRule="exact"/>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本项目在主体工程及产品方案见表3-3，储运工程、公辅工程、环保工程建设内容见表3-4，项目主要设备见表3-5。</w:t>
      </w:r>
    </w:p>
    <w:p>
      <w:pPr>
        <w:pStyle w:val="7"/>
        <w:spacing w:line="500" w:lineRule="exact"/>
        <w:jc w:val="center"/>
        <w:rPr>
          <w:rFonts w:ascii="Times New Roman" w:hAnsi="Times New Roman" w:cs="Times New Roman"/>
          <w:b/>
          <w:szCs w:val="21"/>
        </w:rPr>
      </w:pPr>
      <w:bookmarkStart w:id="70" w:name="_Toc3453_WPSOffice_Level2"/>
      <w:r>
        <w:t>表</w:t>
      </w:r>
      <w:r>
        <w:rPr>
          <w:rFonts w:hint="eastAsia"/>
          <w:lang w:eastAsia="zh-CN"/>
        </w:rPr>
        <w:t>3-</w:t>
      </w:r>
      <w:r>
        <w:rPr>
          <w:rFonts w:hint="eastAsia"/>
          <w:lang w:val="en-US" w:eastAsia="zh-CN"/>
        </w:rPr>
        <w:t xml:space="preserve">3  </w:t>
      </w:r>
      <w:r>
        <w:rPr>
          <w:rFonts w:hint="eastAsia"/>
          <w:lang w:eastAsia="zh-CN"/>
        </w:rPr>
        <w:t>项目主体工程及产品方案</w:t>
      </w:r>
    </w:p>
    <w:tbl>
      <w:tblPr>
        <w:tblStyle w:val="23"/>
        <w:tblW w:w="8522" w:type="dxa"/>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66"/>
        <w:gridCol w:w="1660"/>
        <w:gridCol w:w="1655"/>
        <w:gridCol w:w="1379"/>
        <w:gridCol w:w="1662"/>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17" w:hRule="atLeast"/>
        </w:trPr>
        <w:tc>
          <w:tcPr>
            <w:tcW w:w="2166"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工程名称</w:t>
            </w:r>
          </w:p>
          <w:p>
            <w:pPr>
              <w:widowControl/>
              <w:snapToGrid w:val="0"/>
              <w:jc w:val="center"/>
              <w:rPr>
                <w:rFonts w:ascii="Times New Roman" w:hAnsi="Times New Roman" w:cs="Times New Roman"/>
                <w:szCs w:val="21"/>
              </w:rPr>
            </w:pPr>
            <w:r>
              <w:rPr>
                <w:rFonts w:ascii="Times New Roman" w:cs="Times New Roman" w:hAnsiTheme="minorEastAsia"/>
                <w:szCs w:val="21"/>
              </w:rPr>
              <w:t>（生产线）</w:t>
            </w:r>
          </w:p>
        </w:tc>
        <w:tc>
          <w:tcPr>
            <w:tcW w:w="1660"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产品名称</w:t>
            </w:r>
          </w:p>
        </w:tc>
        <w:tc>
          <w:tcPr>
            <w:tcW w:w="1655"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产品规格</w:t>
            </w:r>
          </w:p>
        </w:tc>
        <w:tc>
          <w:tcPr>
            <w:tcW w:w="1379"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设计能力</w:t>
            </w:r>
          </w:p>
          <w:p>
            <w:pPr>
              <w:widowControl/>
              <w:snapToGrid w:val="0"/>
              <w:jc w:val="center"/>
              <w:rPr>
                <w:rFonts w:ascii="Times New Roman" w:hAnsi="Times New Roman" w:cs="Times New Roman"/>
                <w:szCs w:val="21"/>
              </w:rPr>
            </w:pPr>
            <w:r>
              <w:rPr>
                <w:rFonts w:ascii="Times New Roman" w:cs="Times New Roman" w:hAnsiTheme="minorEastAsia"/>
                <w:szCs w:val="21"/>
              </w:rPr>
              <w:t>（万辆</w:t>
            </w:r>
            <w:r>
              <w:rPr>
                <w:rFonts w:ascii="Times New Roman" w:hAnsi="Times New Roman" w:cs="Times New Roman"/>
                <w:szCs w:val="21"/>
              </w:rPr>
              <w:t>/</w:t>
            </w:r>
            <w:r>
              <w:rPr>
                <w:rFonts w:ascii="Times New Roman" w:cs="Times New Roman" w:hAnsiTheme="minorEastAsia"/>
                <w:szCs w:val="21"/>
              </w:rPr>
              <w:t>年）</w:t>
            </w:r>
          </w:p>
        </w:tc>
        <w:tc>
          <w:tcPr>
            <w:tcW w:w="1662"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年运行时数</w:t>
            </w:r>
          </w:p>
          <w:p>
            <w:pPr>
              <w:widowControl/>
              <w:snapToGrid w:val="0"/>
              <w:jc w:val="center"/>
              <w:rPr>
                <w:rFonts w:ascii="Times New Roman" w:hAnsi="Times New Roman" w:cs="Times New Roman"/>
                <w:szCs w:val="21"/>
              </w:rPr>
            </w:pPr>
            <w:r>
              <w:rPr>
                <w:rFonts w:ascii="Times New Roman" w:cs="Times New Roman" w:hAnsiTheme="minorEastAsia"/>
                <w:szCs w:val="21"/>
              </w:rPr>
              <w:t>（小时</w:t>
            </w:r>
            <w:r>
              <w:rPr>
                <w:rFonts w:ascii="Times New Roman" w:hAnsi="Times New Roman" w:cs="Times New Roman"/>
                <w:szCs w:val="21"/>
              </w:rPr>
              <w:t>/</w:t>
            </w:r>
            <w:r>
              <w:rPr>
                <w:rFonts w:ascii="Times New Roman" w:cs="Times New Roman" w:hAnsiTheme="minorEastAsia"/>
                <w:szCs w:val="21"/>
              </w:rPr>
              <w:t>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trPr>
        <w:tc>
          <w:tcPr>
            <w:tcW w:w="2166" w:type="dxa"/>
            <w:vMerge w:val="restart"/>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自行车生产线</w:t>
            </w:r>
          </w:p>
        </w:tc>
        <w:tc>
          <w:tcPr>
            <w:tcW w:w="1660" w:type="dxa"/>
            <w:vMerge w:val="restart"/>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脚踏自行车</w:t>
            </w:r>
          </w:p>
        </w:tc>
        <w:tc>
          <w:tcPr>
            <w:tcW w:w="1655"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铝制自行车</w:t>
            </w:r>
          </w:p>
        </w:tc>
        <w:tc>
          <w:tcPr>
            <w:tcW w:w="1379"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3</w:t>
            </w:r>
          </w:p>
        </w:tc>
        <w:tc>
          <w:tcPr>
            <w:tcW w:w="1662"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2400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trPr>
        <w:tc>
          <w:tcPr>
            <w:tcW w:w="2166" w:type="dxa"/>
            <w:vMerge w:val="continue"/>
            <w:tcBorders>
              <w:tl2br w:val="nil"/>
              <w:tr2bl w:val="nil"/>
            </w:tcBorders>
            <w:vAlign w:val="center"/>
          </w:tcPr>
          <w:p>
            <w:pPr>
              <w:widowControl/>
              <w:snapToGrid w:val="0"/>
              <w:jc w:val="center"/>
              <w:rPr>
                <w:rFonts w:ascii="Times New Roman" w:hAnsi="Times New Roman" w:cs="Times New Roman"/>
                <w:szCs w:val="21"/>
              </w:rPr>
            </w:pPr>
          </w:p>
        </w:tc>
        <w:tc>
          <w:tcPr>
            <w:tcW w:w="1660" w:type="dxa"/>
            <w:vMerge w:val="continue"/>
            <w:tcBorders>
              <w:tl2br w:val="nil"/>
              <w:tr2bl w:val="nil"/>
            </w:tcBorders>
            <w:vAlign w:val="center"/>
          </w:tcPr>
          <w:p>
            <w:pPr>
              <w:widowControl/>
              <w:snapToGrid w:val="0"/>
              <w:jc w:val="center"/>
              <w:rPr>
                <w:rFonts w:ascii="Times New Roman" w:hAnsi="Times New Roman" w:cs="Times New Roman"/>
                <w:szCs w:val="21"/>
              </w:rPr>
            </w:pPr>
          </w:p>
        </w:tc>
        <w:tc>
          <w:tcPr>
            <w:tcW w:w="1655"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铁制自行车</w:t>
            </w:r>
          </w:p>
        </w:tc>
        <w:tc>
          <w:tcPr>
            <w:tcW w:w="1379"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37</w:t>
            </w:r>
          </w:p>
        </w:tc>
        <w:tc>
          <w:tcPr>
            <w:tcW w:w="1662"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2400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trPr>
        <w:tc>
          <w:tcPr>
            <w:tcW w:w="2166"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cs="Times New Roman" w:hAnsiTheme="minorEastAsia"/>
                <w:szCs w:val="21"/>
              </w:rPr>
              <w:t>合</w:t>
            </w:r>
            <w:r>
              <w:rPr>
                <w:rFonts w:hint="eastAsia" w:ascii="Times New Roman" w:cs="Times New Roman" w:hAnsiTheme="minorEastAsia"/>
                <w:szCs w:val="21"/>
                <w:lang w:val="en-US" w:eastAsia="zh-CN"/>
              </w:rPr>
              <w:t xml:space="preserve">  </w:t>
            </w:r>
            <w:r>
              <w:rPr>
                <w:rFonts w:ascii="Times New Roman" w:cs="Times New Roman" w:hAnsiTheme="minorEastAsia"/>
                <w:szCs w:val="21"/>
              </w:rPr>
              <w:t>计</w:t>
            </w:r>
          </w:p>
        </w:tc>
        <w:tc>
          <w:tcPr>
            <w:tcW w:w="1660"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w:t>
            </w:r>
          </w:p>
        </w:tc>
        <w:tc>
          <w:tcPr>
            <w:tcW w:w="1655"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w:t>
            </w:r>
          </w:p>
        </w:tc>
        <w:tc>
          <w:tcPr>
            <w:tcW w:w="1379"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40</w:t>
            </w:r>
          </w:p>
        </w:tc>
        <w:tc>
          <w:tcPr>
            <w:tcW w:w="1662"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w:t>
            </w:r>
          </w:p>
        </w:tc>
      </w:tr>
    </w:tbl>
    <w:p>
      <w:pPr>
        <w:pStyle w:val="22"/>
        <w:tabs>
          <w:tab w:val="left" w:pos="420"/>
          <w:tab w:val="left" w:pos="870"/>
          <w:tab w:val="left" w:pos="3150"/>
        </w:tabs>
        <w:spacing w:line="360" w:lineRule="auto"/>
        <w:ind w:left="0" w:leftChars="0" w:firstLine="0" w:firstLineChars="0"/>
        <w:jc w:val="both"/>
        <w:rPr>
          <w:rFonts w:ascii="Times New Roman"/>
          <w:b/>
        </w:rPr>
      </w:pPr>
    </w:p>
    <w:p>
      <w:pPr>
        <w:pStyle w:val="22"/>
        <w:tabs>
          <w:tab w:val="left" w:pos="420"/>
          <w:tab w:val="left" w:pos="870"/>
          <w:tab w:val="left" w:pos="3150"/>
        </w:tabs>
        <w:spacing w:line="360" w:lineRule="auto"/>
        <w:ind w:left="0" w:leftChars="0" w:firstLine="0" w:firstLineChars="0"/>
        <w:jc w:val="both"/>
        <w:rPr>
          <w:rFonts w:ascii="Times New Roman"/>
          <w:b/>
        </w:rPr>
        <w:sectPr>
          <w:pgSz w:w="11906" w:h="16838"/>
          <w:pgMar w:top="1440" w:right="1800" w:bottom="1440" w:left="1800" w:header="851" w:footer="992" w:gutter="0"/>
          <w:cols w:space="425" w:num="1"/>
          <w:docGrid w:type="lines" w:linePitch="312" w:charSpace="0"/>
        </w:sectPr>
      </w:pPr>
    </w:p>
    <w:p>
      <w:pPr>
        <w:pStyle w:val="7"/>
        <w:bidi w:val="0"/>
      </w:pPr>
      <w:r>
        <w:t>表</w:t>
      </w:r>
      <w:r>
        <w:rPr>
          <w:rFonts w:hint="eastAsia"/>
          <w:lang w:eastAsia="zh-CN"/>
        </w:rPr>
        <w:t>3-</w:t>
      </w:r>
      <w:r>
        <w:rPr>
          <w:rFonts w:hint="eastAsia"/>
          <w:lang w:val="en-US" w:eastAsia="zh-CN"/>
        </w:rPr>
        <w:t>4</w:t>
      </w:r>
      <w:r>
        <w:rPr>
          <w:rFonts w:hint="eastAsia"/>
          <w:lang w:eastAsia="zh-CN"/>
        </w:rPr>
        <w:t xml:space="preserve">  项目工程组成一览表</w:t>
      </w:r>
    </w:p>
    <w:tbl>
      <w:tblPr>
        <w:tblStyle w:val="23"/>
        <w:tblW w:w="10510" w:type="dxa"/>
        <w:jc w:val="center"/>
        <w:tblInd w:w="-176"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12"/>
        <w:gridCol w:w="692"/>
        <w:gridCol w:w="1232"/>
        <w:gridCol w:w="3320"/>
        <w:gridCol w:w="1701"/>
        <w:gridCol w:w="2853"/>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tcBorders>
              <w:tl2br w:val="nil"/>
              <w:tr2bl w:val="nil"/>
            </w:tcBorders>
            <w:vAlign w:val="center"/>
          </w:tcPr>
          <w:p>
            <w:pPr>
              <w:widowControl/>
              <w:jc w:val="center"/>
              <w:rPr>
                <w:rFonts w:ascii="Times New Roman"/>
                <w:b/>
                <w:szCs w:val="21"/>
              </w:rPr>
            </w:pPr>
            <w:r>
              <w:rPr>
                <w:rFonts w:ascii="Times New Roman"/>
                <w:b/>
                <w:szCs w:val="21"/>
              </w:rPr>
              <w:t>工程类别</w:t>
            </w:r>
          </w:p>
        </w:tc>
        <w:tc>
          <w:tcPr>
            <w:tcW w:w="1924" w:type="dxa"/>
            <w:gridSpan w:val="2"/>
            <w:tcBorders>
              <w:tl2br w:val="nil"/>
              <w:tr2bl w:val="nil"/>
            </w:tcBorders>
            <w:vAlign w:val="center"/>
          </w:tcPr>
          <w:p>
            <w:pPr>
              <w:widowControl/>
              <w:jc w:val="center"/>
              <w:rPr>
                <w:rFonts w:ascii="Times New Roman"/>
                <w:b/>
                <w:szCs w:val="21"/>
              </w:rPr>
            </w:pPr>
            <w:r>
              <w:rPr>
                <w:rFonts w:ascii="Times New Roman"/>
                <w:b/>
                <w:szCs w:val="21"/>
              </w:rPr>
              <w:t>工程名称</w:t>
            </w:r>
          </w:p>
        </w:tc>
        <w:tc>
          <w:tcPr>
            <w:tcW w:w="3320" w:type="dxa"/>
            <w:tcBorders>
              <w:tl2br w:val="nil"/>
              <w:tr2bl w:val="nil"/>
            </w:tcBorders>
            <w:vAlign w:val="center"/>
          </w:tcPr>
          <w:p>
            <w:pPr>
              <w:widowControl/>
              <w:jc w:val="center"/>
              <w:rPr>
                <w:rFonts w:ascii="Times New Roman"/>
                <w:b/>
                <w:szCs w:val="21"/>
              </w:rPr>
            </w:pPr>
            <w:r>
              <w:rPr>
                <w:rFonts w:ascii="Times New Roman"/>
                <w:b/>
                <w:szCs w:val="21"/>
              </w:rPr>
              <w:t>项目建设内容</w:t>
            </w:r>
          </w:p>
        </w:tc>
        <w:tc>
          <w:tcPr>
            <w:tcW w:w="1701" w:type="dxa"/>
            <w:tcBorders>
              <w:tl2br w:val="nil"/>
              <w:tr2bl w:val="nil"/>
            </w:tcBorders>
            <w:vAlign w:val="center"/>
          </w:tcPr>
          <w:p>
            <w:pPr>
              <w:widowControl/>
              <w:jc w:val="center"/>
              <w:rPr>
                <w:rFonts w:ascii="Times New Roman"/>
                <w:b/>
                <w:szCs w:val="21"/>
              </w:rPr>
            </w:pPr>
            <w:r>
              <w:rPr>
                <w:rFonts w:ascii="Times New Roman"/>
                <w:b/>
                <w:szCs w:val="21"/>
              </w:rPr>
              <w:t>备注</w:t>
            </w:r>
          </w:p>
        </w:tc>
        <w:tc>
          <w:tcPr>
            <w:tcW w:w="2853" w:type="dxa"/>
            <w:tcBorders>
              <w:tl2br w:val="nil"/>
              <w:tr2bl w:val="nil"/>
            </w:tcBorders>
            <w:vAlign w:val="center"/>
          </w:tcPr>
          <w:p>
            <w:pPr>
              <w:widowControl/>
              <w:jc w:val="center"/>
              <w:rPr>
                <w:rFonts w:ascii="Times New Roman"/>
                <w:b/>
                <w:szCs w:val="21"/>
              </w:rPr>
            </w:pPr>
            <w:r>
              <w:rPr>
                <w:rFonts w:hint="eastAsia" w:ascii="Times New Roman"/>
                <w:b/>
                <w:szCs w:val="21"/>
              </w:rPr>
              <w:t>实际</w:t>
            </w:r>
            <w:r>
              <w:rPr>
                <w:rFonts w:ascii="Times New Roman"/>
                <w:b/>
                <w:szCs w:val="21"/>
              </w:rPr>
              <w:t>建设情况</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restart"/>
            <w:tcBorders>
              <w:tl2br w:val="nil"/>
              <w:tr2bl w:val="nil"/>
            </w:tcBorders>
            <w:vAlign w:val="center"/>
          </w:tcPr>
          <w:p>
            <w:pPr>
              <w:widowControl/>
              <w:jc w:val="center"/>
              <w:rPr>
                <w:rFonts w:ascii="Times New Roman"/>
                <w:szCs w:val="21"/>
              </w:rPr>
            </w:pPr>
            <w:r>
              <w:rPr>
                <w:rFonts w:ascii="Times New Roman"/>
                <w:szCs w:val="21"/>
              </w:rPr>
              <w:t>主体工程</w:t>
            </w: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前处理及涂装车间</w:t>
            </w:r>
          </w:p>
        </w:tc>
        <w:tc>
          <w:tcPr>
            <w:tcW w:w="3320" w:type="dxa"/>
            <w:tcBorders>
              <w:tl2br w:val="nil"/>
              <w:tr2bl w:val="nil"/>
            </w:tcBorders>
            <w:vAlign w:val="center"/>
          </w:tcPr>
          <w:p>
            <w:pPr>
              <w:widowControl/>
              <w:jc w:val="both"/>
              <w:rPr>
                <w:rFonts w:ascii="Times New Roman"/>
                <w:szCs w:val="21"/>
              </w:rPr>
            </w:pPr>
            <w:r>
              <w:rPr>
                <w:rFonts w:ascii="Times New Roman"/>
                <w:szCs w:val="21"/>
              </w:rPr>
              <w:t>1栋，建筑面积4508m</w:t>
            </w:r>
            <w:r>
              <w:rPr>
                <w:rFonts w:ascii="Times New Roman"/>
                <w:szCs w:val="21"/>
                <w:vertAlign w:val="superscript"/>
              </w:rPr>
              <w:t>2</w:t>
            </w:r>
            <w:r>
              <w:rPr>
                <w:rFonts w:ascii="Times New Roman"/>
                <w:szCs w:val="21"/>
              </w:rPr>
              <w:t>，设置前处理生产线1条，涂装生产线1条</w:t>
            </w:r>
          </w:p>
        </w:tc>
        <w:tc>
          <w:tcPr>
            <w:tcW w:w="1701" w:type="dxa"/>
            <w:tcBorders>
              <w:tl2br w:val="nil"/>
              <w:tr2bl w:val="nil"/>
            </w:tcBorders>
            <w:vAlign w:val="center"/>
          </w:tcPr>
          <w:p>
            <w:pPr>
              <w:widowControl/>
              <w:jc w:val="left"/>
              <w:rPr>
                <w:rFonts w:ascii="Times New Roman"/>
                <w:szCs w:val="21"/>
              </w:rPr>
            </w:pPr>
            <w:r>
              <w:rPr>
                <w:rFonts w:ascii="Times New Roman"/>
                <w:szCs w:val="21"/>
              </w:rPr>
              <w:t>厂房依托美乐集团空置厂房，生产线新建</w:t>
            </w:r>
          </w:p>
        </w:tc>
        <w:tc>
          <w:tcPr>
            <w:tcW w:w="2853" w:type="dxa"/>
            <w:tcBorders>
              <w:tl2br w:val="nil"/>
              <w:tr2bl w:val="nil"/>
            </w:tcBorders>
            <w:vAlign w:val="center"/>
          </w:tcPr>
          <w:p>
            <w:pPr>
              <w:widowControl/>
              <w:jc w:val="both"/>
              <w:rPr>
                <w:rFonts w:ascii="Times New Roman"/>
                <w:szCs w:val="21"/>
              </w:rPr>
            </w:pPr>
            <w:r>
              <w:rPr>
                <w:rFonts w:hint="eastAsia" w:ascii="Times New Roman"/>
                <w:szCs w:val="21"/>
              </w:rPr>
              <w:t>湿式</w:t>
            </w:r>
            <w:r>
              <w:rPr>
                <w:rFonts w:ascii="Times New Roman"/>
                <w:szCs w:val="21"/>
              </w:rPr>
              <w:t>前处理生产线已建</w:t>
            </w:r>
            <w:r>
              <w:rPr>
                <w:rFonts w:hint="eastAsia" w:ascii="Times New Roman"/>
                <w:szCs w:val="21"/>
              </w:rPr>
              <w:t>、</w:t>
            </w:r>
            <w:r>
              <w:rPr>
                <w:rFonts w:ascii="Times New Roman"/>
                <w:szCs w:val="21"/>
              </w:rPr>
              <w:t>未投入运行</w:t>
            </w:r>
            <w:r>
              <w:rPr>
                <w:rFonts w:hint="eastAsia" w:ascii="Times New Roman"/>
                <w:szCs w:val="21"/>
              </w:rPr>
              <w:t>，</w:t>
            </w:r>
            <w:r>
              <w:rPr>
                <w:rFonts w:ascii="Times New Roman"/>
                <w:szCs w:val="21"/>
              </w:rPr>
              <w:t>纳入二期验收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装配车间</w:t>
            </w:r>
          </w:p>
        </w:tc>
        <w:tc>
          <w:tcPr>
            <w:tcW w:w="3320" w:type="dxa"/>
            <w:tcBorders>
              <w:tl2br w:val="nil"/>
              <w:tr2bl w:val="nil"/>
            </w:tcBorders>
            <w:vAlign w:val="center"/>
          </w:tcPr>
          <w:p>
            <w:pPr>
              <w:widowControl/>
              <w:jc w:val="both"/>
              <w:rPr>
                <w:rFonts w:ascii="Times New Roman"/>
                <w:szCs w:val="21"/>
              </w:rPr>
            </w:pPr>
            <w:r>
              <w:rPr>
                <w:rFonts w:ascii="Times New Roman"/>
                <w:szCs w:val="21"/>
              </w:rPr>
              <w:t>1栋，建筑面积9408m</w:t>
            </w:r>
            <w:r>
              <w:rPr>
                <w:rFonts w:ascii="Times New Roman"/>
                <w:szCs w:val="21"/>
                <w:vertAlign w:val="superscript"/>
              </w:rPr>
              <w:t>2</w:t>
            </w:r>
            <w:r>
              <w:rPr>
                <w:rFonts w:ascii="Times New Roman"/>
                <w:szCs w:val="21"/>
              </w:rPr>
              <w:t>，车间内设置装配生产线</w:t>
            </w:r>
            <w:r>
              <w:rPr>
                <w:rFonts w:hint="eastAsia" w:ascii="Times New Roman"/>
                <w:szCs w:val="21"/>
              </w:rPr>
              <w:t>2</w:t>
            </w:r>
            <w:r>
              <w:rPr>
                <w:rFonts w:ascii="Times New Roman"/>
                <w:szCs w:val="21"/>
              </w:rPr>
              <w:t>条</w:t>
            </w:r>
          </w:p>
        </w:tc>
        <w:tc>
          <w:tcPr>
            <w:tcW w:w="1701" w:type="dxa"/>
            <w:tcBorders>
              <w:tl2br w:val="nil"/>
              <w:tr2bl w:val="nil"/>
            </w:tcBorders>
            <w:vAlign w:val="center"/>
          </w:tcPr>
          <w:p>
            <w:pPr>
              <w:widowControl/>
              <w:rPr>
                <w:rFonts w:ascii="Times New Roman"/>
                <w:szCs w:val="21"/>
              </w:rPr>
            </w:pPr>
            <w:r>
              <w:rPr>
                <w:rFonts w:ascii="Times New Roman"/>
                <w:szCs w:val="21"/>
              </w:rPr>
              <w:t>厂房依托美乐集团空置厂房，生产线新建</w:t>
            </w:r>
          </w:p>
        </w:tc>
        <w:tc>
          <w:tcPr>
            <w:tcW w:w="2853" w:type="dxa"/>
            <w:tcBorders>
              <w:tl2br w:val="nil"/>
              <w:tr2bl w:val="nil"/>
            </w:tcBorders>
            <w:vAlign w:val="center"/>
          </w:tcPr>
          <w:p>
            <w:pPr>
              <w:widowControl/>
              <w:jc w:val="both"/>
              <w:rPr>
                <w:rFonts w:ascii="Times New Roman"/>
                <w:szCs w:val="21"/>
              </w:rPr>
            </w:pPr>
            <w:r>
              <w:rPr>
                <w:rFonts w:hint="eastAsia" w:ascii="Times New Roman"/>
                <w:szCs w:val="21"/>
              </w:rPr>
              <w:t>2栋，建筑面积8200㎡，装配生产线由2条增加为6条</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restart"/>
            <w:tcBorders>
              <w:tl2br w:val="nil"/>
              <w:tr2bl w:val="nil"/>
            </w:tcBorders>
            <w:vAlign w:val="center"/>
          </w:tcPr>
          <w:p>
            <w:pPr>
              <w:widowControl/>
              <w:jc w:val="center"/>
              <w:rPr>
                <w:rFonts w:ascii="Times New Roman"/>
                <w:szCs w:val="21"/>
              </w:rPr>
            </w:pPr>
            <w:r>
              <w:rPr>
                <w:rFonts w:ascii="Times New Roman"/>
                <w:szCs w:val="21"/>
              </w:rPr>
              <w:t>辅助工程</w:t>
            </w: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机修车间</w:t>
            </w:r>
          </w:p>
        </w:tc>
        <w:tc>
          <w:tcPr>
            <w:tcW w:w="3320" w:type="dxa"/>
            <w:tcBorders>
              <w:tl2br w:val="nil"/>
              <w:tr2bl w:val="nil"/>
            </w:tcBorders>
            <w:vAlign w:val="center"/>
          </w:tcPr>
          <w:p>
            <w:pPr>
              <w:widowControl/>
              <w:jc w:val="center"/>
              <w:rPr>
                <w:rFonts w:ascii="Times New Roman"/>
                <w:szCs w:val="21"/>
              </w:rPr>
            </w:pPr>
            <w:r>
              <w:rPr>
                <w:rFonts w:ascii="Times New Roman"/>
                <w:szCs w:val="21"/>
              </w:rPr>
              <w:t>1间，建筑面积110m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ascii="Times New Roman"/>
                <w:szCs w:val="21"/>
              </w:rPr>
              <w:t>1间，建筑面积110m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检测车间</w:t>
            </w:r>
          </w:p>
        </w:tc>
        <w:tc>
          <w:tcPr>
            <w:tcW w:w="3320" w:type="dxa"/>
            <w:tcBorders>
              <w:tl2br w:val="nil"/>
              <w:tr2bl w:val="nil"/>
            </w:tcBorders>
            <w:vAlign w:val="center"/>
          </w:tcPr>
          <w:p>
            <w:pPr>
              <w:widowControl/>
              <w:jc w:val="center"/>
              <w:rPr>
                <w:rFonts w:ascii="Times New Roman"/>
                <w:szCs w:val="21"/>
              </w:rPr>
            </w:pPr>
            <w:r>
              <w:rPr>
                <w:rFonts w:ascii="Times New Roman"/>
                <w:szCs w:val="21"/>
              </w:rPr>
              <w:t>1间，建筑面积91m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ascii="Times New Roman"/>
                <w:szCs w:val="21"/>
              </w:rPr>
              <w:t>1间，建筑面积91m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行政办公设施</w:t>
            </w:r>
          </w:p>
        </w:tc>
        <w:tc>
          <w:tcPr>
            <w:tcW w:w="3320" w:type="dxa"/>
            <w:tcBorders>
              <w:tl2br w:val="nil"/>
              <w:tr2bl w:val="nil"/>
            </w:tcBorders>
            <w:vAlign w:val="center"/>
          </w:tcPr>
          <w:p>
            <w:pPr>
              <w:widowControl/>
              <w:jc w:val="center"/>
              <w:rPr>
                <w:rFonts w:ascii="Times New Roman"/>
                <w:szCs w:val="21"/>
              </w:rPr>
            </w:pPr>
            <w:r>
              <w:rPr>
                <w:rFonts w:ascii="Times New Roman"/>
                <w:szCs w:val="21"/>
              </w:rPr>
              <w:t>建筑面积约400m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ascii="Times New Roman"/>
                <w:szCs w:val="21"/>
              </w:rPr>
              <w:t>建筑面积约400m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restart"/>
            <w:tcBorders>
              <w:tl2br w:val="nil"/>
              <w:tr2bl w:val="nil"/>
            </w:tcBorders>
            <w:vAlign w:val="center"/>
          </w:tcPr>
          <w:p>
            <w:pPr>
              <w:widowControl/>
              <w:jc w:val="center"/>
              <w:rPr>
                <w:rFonts w:ascii="Times New Roman"/>
                <w:szCs w:val="21"/>
              </w:rPr>
            </w:pPr>
            <w:r>
              <w:rPr>
                <w:rFonts w:ascii="Times New Roman"/>
                <w:szCs w:val="21"/>
              </w:rPr>
              <w:t>贮运工程</w:t>
            </w: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零部件仓库</w:t>
            </w:r>
          </w:p>
        </w:tc>
        <w:tc>
          <w:tcPr>
            <w:tcW w:w="3320" w:type="dxa"/>
            <w:tcBorders>
              <w:tl2br w:val="nil"/>
              <w:tr2bl w:val="nil"/>
            </w:tcBorders>
            <w:vAlign w:val="center"/>
          </w:tcPr>
          <w:p>
            <w:pPr>
              <w:widowControl/>
              <w:jc w:val="center"/>
              <w:rPr>
                <w:rFonts w:ascii="Times New Roman"/>
                <w:szCs w:val="21"/>
              </w:rPr>
            </w:pPr>
            <w:r>
              <w:rPr>
                <w:rFonts w:ascii="Times New Roman"/>
                <w:szCs w:val="21"/>
              </w:rPr>
              <w:t>1间，建筑面积2485m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hint="eastAsia" w:ascii="Times New Roman"/>
                <w:szCs w:val="21"/>
              </w:rPr>
              <w:t>1间，</w:t>
            </w:r>
            <w:r>
              <w:rPr>
                <w:rFonts w:ascii="Times New Roman"/>
                <w:szCs w:val="21"/>
              </w:rPr>
              <w:t>建筑面积</w:t>
            </w:r>
            <w:r>
              <w:rPr>
                <w:rFonts w:hint="eastAsia" w:ascii="Times New Roman"/>
                <w:szCs w:val="21"/>
              </w:rPr>
              <w:t>2800</w:t>
            </w:r>
            <w:r>
              <w:rPr>
                <w:rFonts w:ascii="Times New Roman"/>
                <w:szCs w:val="21"/>
              </w:rPr>
              <w:t>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成品仓库</w:t>
            </w:r>
          </w:p>
        </w:tc>
        <w:tc>
          <w:tcPr>
            <w:tcW w:w="3320" w:type="dxa"/>
            <w:tcBorders>
              <w:tl2br w:val="nil"/>
              <w:tr2bl w:val="nil"/>
            </w:tcBorders>
            <w:vAlign w:val="center"/>
          </w:tcPr>
          <w:p>
            <w:pPr>
              <w:widowControl/>
              <w:jc w:val="center"/>
              <w:rPr>
                <w:rFonts w:ascii="Times New Roman"/>
                <w:szCs w:val="21"/>
              </w:rPr>
            </w:pPr>
            <w:r>
              <w:rPr>
                <w:rFonts w:ascii="Times New Roman"/>
                <w:szCs w:val="21"/>
              </w:rPr>
              <w:t>2间，建筑面积共8200m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hint="eastAsia" w:ascii="Times New Roman"/>
                <w:szCs w:val="21"/>
              </w:rPr>
              <w:t>1间，</w:t>
            </w:r>
            <w:r>
              <w:rPr>
                <w:rFonts w:ascii="Times New Roman"/>
                <w:szCs w:val="21"/>
              </w:rPr>
              <w:t>建筑面积</w:t>
            </w:r>
            <w:r>
              <w:rPr>
                <w:rFonts w:hint="eastAsia" w:ascii="Times New Roman"/>
                <w:szCs w:val="21"/>
              </w:rPr>
              <w:t>3000</w:t>
            </w:r>
            <w:r>
              <w:rPr>
                <w:rFonts w:ascii="Times New Roman"/>
                <w:szCs w:val="21"/>
              </w:rPr>
              <w:t>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油漆仓库</w:t>
            </w:r>
          </w:p>
        </w:tc>
        <w:tc>
          <w:tcPr>
            <w:tcW w:w="3320" w:type="dxa"/>
            <w:tcBorders>
              <w:tl2br w:val="nil"/>
              <w:tr2bl w:val="nil"/>
            </w:tcBorders>
            <w:vAlign w:val="center"/>
          </w:tcPr>
          <w:p>
            <w:pPr>
              <w:widowControl/>
              <w:jc w:val="center"/>
              <w:rPr>
                <w:rFonts w:ascii="Times New Roman"/>
                <w:szCs w:val="21"/>
              </w:rPr>
            </w:pPr>
            <w:r>
              <w:rPr>
                <w:rFonts w:ascii="Times New Roman"/>
                <w:szCs w:val="21"/>
              </w:rPr>
              <w:t>共2间，总建筑面积约185 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ascii="Times New Roman"/>
                <w:szCs w:val="21"/>
              </w:rPr>
              <w:t>共2间，总建筑面积约185 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助剂仓库</w:t>
            </w:r>
          </w:p>
        </w:tc>
        <w:tc>
          <w:tcPr>
            <w:tcW w:w="3320" w:type="dxa"/>
            <w:tcBorders>
              <w:tl2br w:val="nil"/>
              <w:tr2bl w:val="nil"/>
            </w:tcBorders>
            <w:vAlign w:val="center"/>
          </w:tcPr>
          <w:p>
            <w:pPr>
              <w:widowControl/>
              <w:jc w:val="center"/>
              <w:rPr>
                <w:rFonts w:ascii="Times New Roman"/>
                <w:szCs w:val="21"/>
              </w:rPr>
            </w:pPr>
            <w:r>
              <w:rPr>
                <w:rFonts w:ascii="Times New Roman"/>
                <w:szCs w:val="21"/>
              </w:rPr>
              <w:t>1间，建筑面积约50 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center"/>
              <w:rPr>
                <w:rFonts w:ascii="Times New Roman"/>
                <w:szCs w:val="21"/>
              </w:rPr>
            </w:pPr>
            <w:r>
              <w:rPr>
                <w:rFonts w:ascii="Times New Roman"/>
                <w:szCs w:val="21"/>
              </w:rPr>
              <w:t>1间，建筑面积约50 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运输</w:t>
            </w:r>
          </w:p>
        </w:tc>
        <w:tc>
          <w:tcPr>
            <w:tcW w:w="3320" w:type="dxa"/>
            <w:tcBorders>
              <w:tl2br w:val="nil"/>
              <w:tr2bl w:val="nil"/>
            </w:tcBorders>
            <w:vAlign w:val="center"/>
          </w:tcPr>
          <w:p>
            <w:pPr>
              <w:widowControl/>
              <w:jc w:val="center"/>
              <w:rPr>
                <w:rFonts w:ascii="Times New Roman"/>
                <w:szCs w:val="21"/>
              </w:rPr>
            </w:pPr>
            <w:r>
              <w:rPr>
                <w:rFonts w:ascii="Times New Roman"/>
                <w:szCs w:val="21"/>
              </w:rPr>
              <w:t>叉车6台</w:t>
            </w:r>
          </w:p>
        </w:tc>
        <w:tc>
          <w:tcPr>
            <w:tcW w:w="1701" w:type="dxa"/>
            <w:tcBorders>
              <w:tl2br w:val="nil"/>
              <w:tr2bl w:val="nil"/>
            </w:tcBorders>
            <w:vAlign w:val="center"/>
          </w:tcPr>
          <w:p>
            <w:pPr>
              <w:widowControl/>
              <w:jc w:val="center"/>
              <w:rPr>
                <w:rFonts w:ascii="Times New Roman"/>
                <w:szCs w:val="21"/>
              </w:rPr>
            </w:pPr>
            <w:r>
              <w:rPr>
                <w:rFonts w:ascii="Times New Roman"/>
                <w:szCs w:val="21"/>
              </w:rPr>
              <w:t>新增</w:t>
            </w:r>
          </w:p>
        </w:tc>
        <w:tc>
          <w:tcPr>
            <w:tcW w:w="2853" w:type="dxa"/>
            <w:tcBorders>
              <w:tl2br w:val="nil"/>
              <w:tr2bl w:val="nil"/>
            </w:tcBorders>
            <w:vAlign w:val="center"/>
          </w:tcPr>
          <w:p>
            <w:pPr>
              <w:widowControl/>
              <w:jc w:val="center"/>
              <w:rPr>
                <w:rFonts w:ascii="Times New Roman"/>
                <w:szCs w:val="21"/>
              </w:rPr>
            </w:pPr>
            <w:r>
              <w:rPr>
                <w:rFonts w:ascii="Times New Roman"/>
                <w:szCs w:val="21"/>
              </w:rPr>
              <w:t>叉车6台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restart"/>
            <w:tcBorders>
              <w:tl2br w:val="nil"/>
              <w:tr2bl w:val="nil"/>
            </w:tcBorders>
            <w:vAlign w:val="center"/>
          </w:tcPr>
          <w:p>
            <w:pPr>
              <w:widowControl/>
              <w:jc w:val="center"/>
              <w:rPr>
                <w:rFonts w:ascii="Times New Roman"/>
                <w:szCs w:val="21"/>
              </w:rPr>
            </w:pPr>
            <w:r>
              <w:rPr>
                <w:rFonts w:ascii="Times New Roman"/>
                <w:szCs w:val="21"/>
              </w:rPr>
              <w:t>公用工程</w:t>
            </w:r>
          </w:p>
        </w:tc>
        <w:tc>
          <w:tcPr>
            <w:tcW w:w="692" w:type="dxa"/>
            <w:vMerge w:val="restart"/>
            <w:tcBorders>
              <w:tl2br w:val="nil"/>
              <w:tr2bl w:val="nil"/>
            </w:tcBorders>
            <w:vAlign w:val="center"/>
          </w:tcPr>
          <w:p>
            <w:pPr>
              <w:widowControl/>
              <w:jc w:val="center"/>
              <w:rPr>
                <w:rFonts w:ascii="Times New Roman"/>
                <w:szCs w:val="21"/>
              </w:rPr>
            </w:pPr>
            <w:r>
              <w:rPr>
                <w:rFonts w:ascii="Times New Roman"/>
                <w:szCs w:val="21"/>
              </w:rPr>
              <w:t>供水工程</w:t>
            </w:r>
          </w:p>
        </w:tc>
        <w:tc>
          <w:tcPr>
            <w:tcW w:w="1232" w:type="dxa"/>
            <w:tcBorders>
              <w:tl2br w:val="nil"/>
              <w:tr2bl w:val="nil"/>
            </w:tcBorders>
            <w:vAlign w:val="center"/>
          </w:tcPr>
          <w:p>
            <w:pPr>
              <w:widowControl/>
              <w:jc w:val="center"/>
              <w:rPr>
                <w:rFonts w:ascii="Times New Roman"/>
                <w:szCs w:val="21"/>
              </w:rPr>
            </w:pPr>
            <w:r>
              <w:rPr>
                <w:rFonts w:ascii="Times New Roman"/>
                <w:szCs w:val="21"/>
              </w:rPr>
              <w:t>自来水</w:t>
            </w:r>
          </w:p>
        </w:tc>
        <w:tc>
          <w:tcPr>
            <w:tcW w:w="3320" w:type="dxa"/>
            <w:tcBorders>
              <w:tl2br w:val="nil"/>
              <w:tr2bl w:val="nil"/>
            </w:tcBorders>
            <w:vAlign w:val="center"/>
          </w:tcPr>
          <w:p>
            <w:pPr>
              <w:widowControl/>
              <w:jc w:val="center"/>
              <w:rPr>
                <w:rFonts w:ascii="Times New Roman"/>
                <w:szCs w:val="21"/>
              </w:rPr>
            </w:pPr>
            <w:r>
              <w:rPr>
                <w:rFonts w:ascii="Times New Roman"/>
                <w:szCs w:val="21"/>
              </w:rPr>
              <w:t>年耗新鲜水量8090t/a</w:t>
            </w:r>
          </w:p>
        </w:tc>
        <w:tc>
          <w:tcPr>
            <w:tcW w:w="1701" w:type="dxa"/>
            <w:tcBorders>
              <w:tl2br w:val="nil"/>
              <w:tr2bl w:val="nil"/>
            </w:tcBorders>
            <w:vAlign w:val="center"/>
          </w:tcPr>
          <w:p>
            <w:pPr>
              <w:widowControl/>
              <w:jc w:val="center"/>
              <w:rPr>
                <w:rFonts w:ascii="Times New Roman"/>
                <w:szCs w:val="21"/>
              </w:rPr>
            </w:pPr>
            <w:r>
              <w:rPr>
                <w:rFonts w:ascii="Times New Roman"/>
                <w:szCs w:val="21"/>
              </w:rPr>
              <w:t>来自市政管网</w:t>
            </w:r>
          </w:p>
        </w:tc>
        <w:tc>
          <w:tcPr>
            <w:tcW w:w="2853" w:type="dxa"/>
            <w:tcBorders>
              <w:tl2br w:val="nil"/>
              <w:tr2bl w:val="nil"/>
            </w:tcBorders>
            <w:vAlign w:val="center"/>
          </w:tcPr>
          <w:p>
            <w:pPr>
              <w:widowControl/>
              <w:jc w:val="both"/>
              <w:rPr>
                <w:rFonts w:ascii="Times New Roman"/>
                <w:szCs w:val="21"/>
              </w:rPr>
            </w:pPr>
            <w:r>
              <w:rPr>
                <w:rFonts w:hint="eastAsia" w:ascii="Times New Roman"/>
                <w:szCs w:val="21"/>
              </w:rPr>
              <w:t>湿式前处理生产线未运行，实际</w:t>
            </w:r>
            <w:r>
              <w:rPr>
                <w:rFonts w:ascii="Times New Roman"/>
                <w:szCs w:val="21"/>
              </w:rPr>
              <w:t>年耗新鲜水</w:t>
            </w:r>
            <w:r>
              <w:rPr>
                <w:rFonts w:hint="eastAsia" w:ascii="Times New Roman"/>
                <w:color w:val="auto"/>
                <w:szCs w:val="21"/>
                <w:lang w:val="en-US" w:eastAsia="zh-CN"/>
              </w:rPr>
              <w:t>6980</w:t>
            </w:r>
            <w:r>
              <w:rPr>
                <w:rFonts w:ascii="Times New Roman"/>
                <w:color w:val="auto"/>
                <w:szCs w:val="21"/>
              </w:rPr>
              <w:t>t/a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软水制备</w:t>
            </w:r>
          </w:p>
        </w:tc>
        <w:tc>
          <w:tcPr>
            <w:tcW w:w="3320" w:type="dxa"/>
            <w:tcBorders>
              <w:tl2br w:val="nil"/>
              <w:tr2bl w:val="nil"/>
            </w:tcBorders>
            <w:vAlign w:val="center"/>
          </w:tcPr>
          <w:p>
            <w:pPr>
              <w:widowControl/>
              <w:jc w:val="left"/>
              <w:rPr>
                <w:rFonts w:ascii="Times New Roman"/>
                <w:szCs w:val="21"/>
              </w:rPr>
            </w:pPr>
            <w:r>
              <w:rPr>
                <w:rFonts w:ascii="Times New Roman"/>
                <w:szCs w:val="21"/>
              </w:rPr>
              <w:t>5t/h软水制备1套，用于燃气锅炉用水</w:t>
            </w:r>
          </w:p>
        </w:tc>
        <w:tc>
          <w:tcPr>
            <w:tcW w:w="1701" w:type="dxa"/>
            <w:tcBorders>
              <w:tl2br w:val="nil"/>
              <w:tr2bl w:val="nil"/>
            </w:tcBorders>
            <w:vAlign w:val="center"/>
          </w:tcPr>
          <w:p>
            <w:pPr>
              <w:widowControl/>
              <w:jc w:val="center"/>
              <w:rPr>
                <w:rFonts w:ascii="Times New Roman"/>
                <w:szCs w:val="21"/>
              </w:rPr>
            </w:pPr>
            <w:r>
              <w:rPr>
                <w:rFonts w:ascii="Times New Roman"/>
                <w:szCs w:val="21"/>
              </w:rPr>
              <w:t>新增</w:t>
            </w:r>
          </w:p>
        </w:tc>
        <w:tc>
          <w:tcPr>
            <w:tcW w:w="2853" w:type="dxa"/>
            <w:tcBorders>
              <w:tl2br w:val="nil"/>
              <w:tr2bl w:val="nil"/>
            </w:tcBorders>
            <w:vAlign w:val="center"/>
          </w:tcPr>
          <w:p>
            <w:pPr>
              <w:widowControl/>
              <w:jc w:val="center"/>
              <w:rPr>
                <w:rFonts w:ascii="Times New Roman"/>
                <w:szCs w:val="21"/>
              </w:rPr>
            </w:pPr>
            <w:r>
              <w:rPr>
                <w:rFonts w:hint="eastAsia" w:ascii="Times New Roman"/>
                <w:szCs w:val="21"/>
              </w:rPr>
              <w:t>暂未</w:t>
            </w:r>
            <w:r>
              <w:rPr>
                <w:rFonts w:ascii="Times New Roman"/>
                <w:szCs w:val="21"/>
              </w:rPr>
              <w:t>运行</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排水工程</w:t>
            </w:r>
          </w:p>
        </w:tc>
        <w:tc>
          <w:tcPr>
            <w:tcW w:w="3320" w:type="dxa"/>
            <w:tcBorders>
              <w:tl2br w:val="nil"/>
              <w:tr2bl w:val="nil"/>
            </w:tcBorders>
            <w:vAlign w:val="center"/>
          </w:tcPr>
          <w:p>
            <w:pPr>
              <w:widowControl/>
              <w:rPr>
                <w:rFonts w:ascii="Times New Roman"/>
                <w:szCs w:val="21"/>
              </w:rPr>
            </w:pPr>
            <w:r>
              <w:rPr>
                <w:rFonts w:ascii="Times New Roman"/>
                <w:szCs w:val="21"/>
              </w:rPr>
              <w:t>雨污分流，雨水就近排入雨水管网，生产废水（3135t/a）排入美乐集团污水站、处理达标后排入永丰河；生活污水（2880t/a）经化粪池预处理后排入司徒污水处理厂、处理达标后排入新河</w:t>
            </w:r>
          </w:p>
        </w:tc>
        <w:tc>
          <w:tcPr>
            <w:tcW w:w="1701" w:type="dxa"/>
            <w:tcBorders>
              <w:tl2br w:val="nil"/>
              <w:tr2bl w:val="nil"/>
            </w:tcBorders>
            <w:vAlign w:val="center"/>
          </w:tcPr>
          <w:p>
            <w:pPr>
              <w:widowControl/>
              <w:rPr>
                <w:rFonts w:ascii="Times New Roman"/>
                <w:szCs w:val="21"/>
              </w:rPr>
            </w:pPr>
            <w:r>
              <w:rPr>
                <w:rFonts w:ascii="Times New Roman"/>
                <w:szCs w:val="21"/>
              </w:rPr>
              <w:t>依托美乐集团现有已建污水收集管线</w:t>
            </w:r>
          </w:p>
        </w:tc>
        <w:tc>
          <w:tcPr>
            <w:tcW w:w="2853" w:type="dxa"/>
            <w:tcBorders>
              <w:tl2br w:val="nil"/>
              <w:tr2bl w:val="nil"/>
            </w:tcBorders>
            <w:vAlign w:val="center"/>
          </w:tcPr>
          <w:p>
            <w:pPr>
              <w:widowControl/>
              <w:rPr>
                <w:rFonts w:ascii="Times New Roman"/>
                <w:szCs w:val="21"/>
              </w:rPr>
            </w:pPr>
            <w:r>
              <w:rPr>
                <w:rFonts w:hint="eastAsia" w:ascii="Times New Roman"/>
                <w:szCs w:val="21"/>
              </w:rPr>
              <w:t>湿式前处理生产线未运行</w:t>
            </w:r>
            <w:r>
              <w:rPr>
                <w:rFonts w:hint="eastAsia" w:ascii="Times New Roman"/>
                <w:color w:val="auto"/>
                <w:szCs w:val="21"/>
              </w:rPr>
              <w:t>，实际废水量：</w:t>
            </w:r>
            <w:r>
              <w:rPr>
                <w:rFonts w:ascii="Times New Roman"/>
                <w:color w:val="auto"/>
                <w:szCs w:val="21"/>
              </w:rPr>
              <w:t>生产废水</w:t>
            </w:r>
            <w:r>
              <w:rPr>
                <w:rFonts w:hint="eastAsia" w:ascii="Times New Roman"/>
                <w:color w:val="auto"/>
                <w:szCs w:val="21"/>
                <w:lang w:val="en-US" w:eastAsia="zh-CN"/>
              </w:rPr>
              <w:t>2266</w:t>
            </w:r>
            <w:r>
              <w:rPr>
                <w:rFonts w:ascii="Times New Roman"/>
                <w:color w:val="auto"/>
                <w:szCs w:val="21"/>
              </w:rPr>
              <w:t>t/a、生活污水</w:t>
            </w:r>
            <w:r>
              <w:rPr>
                <w:rFonts w:hint="eastAsia" w:ascii="Times New Roman"/>
                <w:color w:val="auto"/>
                <w:szCs w:val="21"/>
              </w:rPr>
              <w:t>2880</w:t>
            </w:r>
            <w:r>
              <w:rPr>
                <w:rFonts w:ascii="Times New Roman"/>
                <w:color w:val="auto"/>
                <w:szCs w:val="21"/>
              </w:rPr>
              <w:t>t/a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供电工程</w:t>
            </w:r>
          </w:p>
        </w:tc>
        <w:tc>
          <w:tcPr>
            <w:tcW w:w="3320" w:type="dxa"/>
            <w:tcBorders>
              <w:tl2br w:val="nil"/>
              <w:tr2bl w:val="nil"/>
            </w:tcBorders>
            <w:vAlign w:val="center"/>
          </w:tcPr>
          <w:p>
            <w:pPr>
              <w:widowControl/>
              <w:rPr>
                <w:rFonts w:ascii="Times New Roman"/>
                <w:szCs w:val="21"/>
              </w:rPr>
            </w:pPr>
            <w:r>
              <w:rPr>
                <w:rFonts w:ascii="Times New Roman"/>
                <w:szCs w:val="21"/>
              </w:rPr>
              <w:t>设置电工房1间，用电量约100万</w:t>
            </w:r>
            <w:r>
              <w:rPr>
                <w:rFonts w:hint="eastAsia" w:ascii="Times New Roman"/>
                <w:szCs w:val="21"/>
              </w:rPr>
              <w:t>kW</w:t>
            </w:r>
            <w:r>
              <w:rPr>
                <w:rFonts w:ascii="Times New Roman"/>
                <w:szCs w:val="21"/>
              </w:rPr>
              <w:t>h/a</w:t>
            </w:r>
          </w:p>
        </w:tc>
        <w:tc>
          <w:tcPr>
            <w:tcW w:w="1701" w:type="dxa"/>
            <w:tcBorders>
              <w:tl2br w:val="nil"/>
              <w:tr2bl w:val="nil"/>
            </w:tcBorders>
            <w:vAlign w:val="center"/>
          </w:tcPr>
          <w:p>
            <w:pPr>
              <w:widowControl/>
              <w:rPr>
                <w:rFonts w:ascii="Times New Roman"/>
                <w:szCs w:val="21"/>
              </w:rPr>
            </w:pPr>
            <w:r>
              <w:rPr>
                <w:rFonts w:ascii="Times New Roman"/>
                <w:szCs w:val="21"/>
              </w:rPr>
              <w:t>依托美乐集团变压设备</w:t>
            </w:r>
          </w:p>
        </w:tc>
        <w:tc>
          <w:tcPr>
            <w:tcW w:w="2853" w:type="dxa"/>
            <w:tcBorders>
              <w:tl2br w:val="nil"/>
              <w:tr2bl w:val="nil"/>
            </w:tcBorders>
            <w:vAlign w:val="center"/>
          </w:tcPr>
          <w:p>
            <w:pPr>
              <w:widowControl/>
              <w:jc w:val="both"/>
              <w:rPr>
                <w:rFonts w:ascii="Times New Roman"/>
                <w:szCs w:val="21"/>
              </w:rPr>
            </w:pPr>
            <w:r>
              <w:rPr>
                <w:rFonts w:ascii="Times New Roman"/>
                <w:szCs w:val="21"/>
              </w:rPr>
              <w:t>设置电工房1间，用电量约1</w:t>
            </w:r>
            <w:r>
              <w:rPr>
                <w:rFonts w:hint="eastAsia" w:ascii="Times New Roman"/>
                <w:szCs w:val="21"/>
                <w:lang w:val="en-US" w:eastAsia="zh-CN"/>
              </w:rPr>
              <w:t>1</w:t>
            </w:r>
            <w:r>
              <w:rPr>
                <w:rFonts w:ascii="Times New Roman"/>
                <w:szCs w:val="21"/>
              </w:rPr>
              <w:t>0万</w:t>
            </w:r>
            <w:r>
              <w:rPr>
                <w:rFonts w:hint="eastAsia" w:ascii="Times New Roman"/>
                <w:szCs w:val="21"/>
              </w:rPr>
              <w:t>kW</w:t>
            </w:r>
            <w:r>
              <w:rPr>
                <w:rFonts w:ascii="Times New Roman"/>
                <w:szCs w:val="21"/>
              </w:rPr>
              <w:t>h/a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restart"/>
            <w:tcBorders>
              <w:tl2br w:val="nil"/>
              <w:tr2bl w:val="nil"/>
            </w:tcBorders>
            <w:vAlign w:val="center"/>
          </w:tcPr>
          <w:p>
            <w:pPr>
              <w:widowControl/>
              <w:jc w:val="center"/>
              <w:rPr>
                <w:rFonts w:ascii="Times New Roman"/>
                <w:szCs w:val="21"/>
              </w:rPr>
            </w:pPr>
            <w:r>
              <w:rPr>
                <w:rFonts w:ascii="Times New Roman"/>
                <w:szCs w:val="21"/>
              </w:rPr>
              <w:t>供气工程</w:t>
            </w:r>
          </w:p>
        </w:tc>
        <w:tc>
          <w:tcPr>
            <w:tcW w:w="1232" w:type="dxa"/>
            <w:tcBorders>
              <w:tl2br w:val="nil"/>
              <w:tr2bl w:val="nil"/>
            </w:tcBorders>
            <w:vAlign w:val="center"/>
          </w:tcPr>
          <w:p>
            <w:pPr>
              <w:widowControl/>
              <w:jc w:val="center"/>
              <w:rPr>
                <w:rFonts w:ascii="Times New Roman"/>
                <w:szCs w:val="21"/>
              </w:rPr>
            </w:pPr>
            <w:r>
              <w:rPr>
                <w:rFonts w:ascii="Times New Roman"/>
                <w:szCs w:val="21"/>
              </w:rPr>
              <w:t>天然气</w:t>
            </w:r>
          </w:p>
        </w:tc>
        <w:tc>
          <w:tcPr>
            <w:tcW w:w="3320" w:type="dxa"/>
            <w:tcBorders>
              <w:tl2br w:val="nil"/>
              <w:tr2bl w:val="nil"/>
            </w:tcBorders>
            <w:vAlign w:val="center"/>
          </w:tcPr>
          <w:p>
            <w:pPr>
              <w:widowControl/>
              <w:jc w:val="center"/>
              <w:rPr>
                <w:rFonts w:ascii="Times New Roman"/>
                <w:szCs w:val="21"/>
              </w:rPr>
            </w:pPr>
            <w:r>
              <w:rPr>
                <w:rFonts w:ascii="Times New Roman"/>
                <w:szCs w:val="21"/>
              </w:rPr>
              <w:t>天然气用量18万m</w:t>
            </w:r>
            <w:r>
              <w:rPr>
                <w:rFonts w:ascii="Times New Roman"/>
                <w:szCs w:val="21"/>
                <w:vertAlign w:val="superscript"/>
              </w:rPr>
              <w:t>3</w:t>
            </w:r>
            <w:r>
              <w:rPr>
                <w:rFonts w:ascii="Times New Roman"/>
                <w:szCs w:val="21"/>
              </w:rPr>
              <w:t>/a</w:t>
            </w:r>
          </w:p>
        </w:tc>
        <w:tc>
          <w:tcPr>
            <w:tcW w:w="1701" w:type="dxa"/>
            <w:tcBorders>
              <w:tl2br w:val="nil"/>
              <w:tr2bl w:val="nil"/>
            </w:tcBorders>
            <w:vAlign w:val="center"/>
          </w:tcPr>
          <w:p>
            <w:pPr>
              <w:widowControl/>
              <w:jc w:val="center"/>
              <w:rPr>
                <w:rFonts w:ascii="Times New Roman"/>
                <w:szCs w:val="21"/>
              </w:rPr>
            </w:pPr>
            <w:r>
              <w:rPr>
                <w:rFonts w:ascii="Times New Roman"/>
                <w:szCs w:val="21"/>
              </w:rPr>
              <w:t>来自市政</w:t>
            </w:r>
          </w:p>
          <w:p>
            <w:pPr>
              <w:widowControl/>
              <w:jc w:val="center"/>
              <w:rPr>
                <w:rFonts w:ascii="Times New Roman"/>
                <w:szCs w:val="21"/>
              </w:rPr>
            </w:pPr>
            <w:r>
              <w:rPr>
                <w:rFonts w:ascii="Times New Roman"/>
                <w:szCs w:val="21"/>
              </w:rPr>
              <w:t>供气管网</w:t>
            </w:r>
          </w:p>
        </w:tc>
        <w:tc>
          <w:tcPr>
            <w:tcW w:w="2853" w:type="dxa"/>
            <w:tcBorders>
              <w:tl2br w:val="nil"/>
              <w:tr2bl w:val="nil"/>
            </w:tcBorders>
            <w:vAlign w:val="center"/>
          </w:tcPr>
          <w:p>
            <w:pPr>
              <w:widowControl/>
              <w:rPr>
                <w:rFonts w:ascii="Times New Roman"/>
                <w:szCs w:val="21"/>
              </w:rPr>
            </w:pPr>
            <w:r>
              <w:rPr>
                <w:rFonts w:hint="eastAsia" w:ascii="Times New Roman"/>
                <w:szCs w:val="21"/>
              </w:rPr>
              <w:t>湿式前处理生产线未运行，</w:t>
            </w:r>
            <w:r>
              <w:rPr>
                <w:rFonts w:ascii="Times New Roman"/>
                <w:szCs w:val="21"/>
              </w:rPr>
              <w:t>天然气用量</w:t>
            </w:r>
            <w:r>
              <w:rPr>
                <w:rFonts w:ascii="Times New Roman"/>
                <w:color w:val="auto"/>
                <w:szCs w:val="21"/>
              </w:rPr>
              <w:t>15</w:t>
            </w:r>
            <w:r>
              <w:rPr>
                <w:rFonts w:ascii="Times New Roman"/>
                <w:szCs w:val="21"/>
              </w:rPr>
              <w:t>万m</w:t>
            </w:r>
            <w:r>
              <w:rPr>
                <w:rFonts w:ascii="Times New Roman"/>
                <w:szCs w:val="21"/>
                <w:vertAlign w:val="superscript"/>
              </w:rPr>
              <w:t>3</w:t>
            </w:r>
            <w:r>
              <w:rPr>
                <w:rFonts w:ascii="Times New Roman"/>
                <w:szCs w:val="21"/>
              </w:rPr>
              <w:t>/a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压缩空气</w:t>
            </w:r>
          </w:p>
        </w:tc>
        <w:tc>
          <w:tcPr>
            <w:tcW w:w="3320" w:type="dxa"/>
            <w:tcBorders>
              <w:tl2br w:val="nil"/>
              <w:tr2bl w:val="nil"/>
            </w:tcBorders>
            <w:vAlign w:val="center"/>
          </w:tcPr>
          <w:p>
            <w:pPr>
              <w:widowControl/>
              <w:jc w:val="both"/>
              <w:rPr>
                <w:rFonts w:ascii="Times New Roman"/>
                <w:szCs w:val="21"/>
              </w:rPr>
            </w:pPr>
            <w:r>
              <w:rPr>
                <w:rFonts w:ascii="Times New Roman"/>
                <w:szCs w:val="21"/>
              </w:rPr>
              <w:t>共配备2台空压机，空压机规格为18.5KW/2Nm</w:t>
            </w:r>
            <w:r>
              <w:rPr>
                <w:rFonts w:ascii="Times New Roman"/>
                <w:szCs w:val="21"/>
                <w:vertAlign w:val="superscript"/>
              </w:rPr>
              <w:t>3</w:t>
            </w:r>
            <w:r>
              <w:rPr>
                <w:rFonts w:ascii="Times New Roman"/>
                <w:szCs w:val="21"/>
              </w:rPr>
              <w:t>/min。</w:t>
            </w:r>
          </w:p>
        </w:tc>
        <w:tc>
          <w:tcPr>
            <w:tcW w:w="1701" w:type="dxa"/>
            <w:tcBorders>
              <w:tl2br w:val="nil"/>
              <w:tr2bl w:val="nil"/>
            </w:tcBorders>
            <w:vAlign w:val="center"/>
          </w:tcPr>
          <w:p>
            <w:pPr>
              <w:widowControl/>
              <w:jc w:val="center"/>
              <w:rPr>
                <w:rFonts w:ascii="Times New Roman"/>
                <w:szCs w:val="21"/>
              </w:rPr>
            </w:pPr>
            <w:r>
              <w:rPr>
                <w:rFonts w:ascii="Times New Roman"/>
                <w:szCs w:val="21"/>
              </w:rPr>
              <w:t>新增</w:t>
            </w:r>
          </w:p>
        </w:tc>
        <w:tc>
          <w:tcPr>
            <w:tcW w:w="2853" w:type="dxa"/>
            <w:tcBorders>
              <w:tl2br w:val="nil"/>
              <w:tr2bl w:val="nil"/>
            </w:tcBorders>
            <w:vAlign w:val="center"/>
          </w:tcPr>
          <w:p>
            <w:pPr>
              <w:widowControl/>
              <w:rPr>
                <w:rFonts w:ascii="Times New Roman"/>
                <w:szCs w:val="21"/>
              </w:rPr>
            </w:pPr>
            <w:r>
              <w:rPr>
                <w:rFonts w:hint="eastAsia" w:ascii="Times New Roman"/>
                <w:szCs w:val="21"/>
              </w:rPr>
              <w:t>装配线新增气动设备，配套7台空压机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供热工程</w:t>
            </w:r>
          </w:p>
        </w:tc>
        <w:tc>
          <w:tcPr>
            <w:tcW w:w="3320" w:type="dxa"/>
            <w:tcBorders>
              <w:tl2br w:val="nil"/>
              <w:tr2bl w:val="nil"/>
            </w:tcBorders>
            <w:vAlign w:val="center"/>
          </w:tcPr>
          <w:p>
            <w:pPr>
              <w:widowControl/>
              <w:jc w:val="both"/>
              <w:rPr>
                <w:rFonts w:ascii="Times New Roman"/>
                <w:szCs w:val="21"/>
              </w:rPr>
            </w:pPr>
            <w:r>
              <w:rPr>
                <w:rFonts w:ascii="Times New Roman"/>
                <w:szCs w:val="21"/>
              </w:rPr>
              <w:t>1t/h蒸燃气锅炉1台，年供蒸汽量100t</w:t>
            </w:r>
          </w:p>
        </w:tc>
        <w:tc>
          <w:tcPr>
            <w:tcW w:w="1701" w:type="dxa"/>
            <w:tcBorders>
              <w:tl2br w:val="nil"/>
              <w:tr2bl w:val="nil"/>
            </w:tcBorders>
            <w:vAlign w:val="center"/>
          </w:tcPr>
          <w:p>
            <w:pPr>
              <w:widowControl/>
              <w:jc w:val="center"/>
              <w:rPr>
                <w:rFonts w:ascii="Times New Roman"/>
                <w:szCs w:val="21"/>
              </w:rPr>
            </w:pPr>
            <w:r>
              <w:rPr>
                <w:rFonts w:ascii="Times New Roman"/>
                <w:szCs w:val="21"/>
              </w:rPr>
              <w:t>新增</w:t>
            </w:r>
          </w:p>
        </w:tc>
        <w:tc>
          <w:tcPr>
            <w:tcW w:w="2853" w:type="dxa"/>
            <w:tcBorders>
              <w:tl2br w:val="nil"/>
              <w:tr2bl w:val="nil"/>
            </w:tcBorders>
            <w:vAlign w:val="center"/>
          </w:tcPr>
          <w:p>
            <w:pPr>
              <w:widowControl/>
              <w:jc w:val="center"/>
              <w:rPr>
                <w:rFonts w:ascii="Times New Roman"/>
                <w:szCs w:val="21"/>
              </w:rPr>
            </w:pPr>
            <w:r>
              <w:rPr>
                <w:rFonts w:hint="eastAsia" w:ascii="Times New Roman"/>
                <w:szCs w:val="21"/>
              </w:rPr>
              <w:t>未运行，</w:t>
            </w:r>
            <w:r>
              <w:rPr>
                <w:rFonts w:ascii="Times New Roman"/>
                <w:szCs w:val="21"/>
              </w:rPr>
              <w:t>纳入二期验收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529" w:hRule="atLeast"/>
          <w:jc w:val="center"/>
        </w:trPr>
        <w:tc>
          <w:tcPr>
            <w:tcW w:w="712" w:type="dxa"/>
            <w:vMerge w:val="restart"/>
            <w:tcBorders>
              <w:tl2br w:val="nil"/>
              <w:tr2bl w:val="nil"/>
            </w:tcBorders>
            <w:vAlign w:val="center"/>
          </w:tcPr>
          <w:p>
            <w:pPr>
              <w:widowControl/>
              <w:jc w:val="center"/>
              <w:rPr>
                <w:rFonts w:ascii="Times New Roman"/>
                <w:szCs w:val="21"/>
              </w:rPr>
            </w:pPr>
            <w:r>
              <w:rPr>
                <w:rFonts w:ascii="Times New Roman"/>
                <w:szCs w:val="21"/>
              </w:rPr>
              <w:t>环保工程</w:t>
            </w:r>
          </w:p>
        </w:tc>
        <w:tc>
          <w:tcPr>
            <w:tcW w:w="692" w:type="dxa"/>
            <w:vMerge w:val="restart"/>
            <w:tcBorders>
              <w:tl2br w:val="nil"/>
              <w:tr2bl w:val="nil"/>
            </w:tcBorders>
            <w:vAlign w:val="center"/>
          </w:tcPr>
          <w:p>
            <w:pPr>
              <w:widowControl/>
              <w:jc w:val="center"/>
              <w:rPr>
                <w:rFonts w:ascii="Times New Roman"/>
                <w:szCs w:val="21"/>
              </w:rPr>
            </w:pPr>
            <w:r>
              <w:rPr>
                <w:rFonts w:ascii="Times New Roman"/>
                <w:szCs w:val="21"/>
              </w:rPr>
              <w:t>废水处理</w:t>
            </w:r>
          </w:p>
        </w:tc>
        <w:tc>
          <w:tcPr>
            <w:tcW w:w="1232" w:type="dxa"/>
            <w:tcBorders>
              <w:tl2br w:val="nil"/>
              <w:tr2bl w:val="nil"/>
            </w:tcBorders>
            <w:vAlign w:val="center"/>
          </w:tcPr>
          <w:p>
            <w:pPr>
              <w:widowControl/>
              <w:jc w:val="center"/>
              <w:rPr>
                <w:rFonts w:ascii="Times New Roman"/>
                <w:szCs w:val="21"/>
              </w:rPr>
            </w:pPr>
            <w:r>
              <w:rPr>
                <w:rFonts w:ascii="Times New Roman"/>
                <w:szCs w:val="21"/>
              </w:rPr>
              <w:t>生产废水</w:t>
            </w:r>
          </w:p>
        </w:tc>
        <w:tc>
          <w:tcPr>
            <w:tcW w:w="3320" w:type="dxa"/>
            <w:tcBorders>
              <w:tl2br w:val="nil"/>
              <w:tr2bl w:val="nil"/>
            </w:tcBorders>
            <w:vAlign w:val="center"/>
          </w:tcPr>
          <w:p>
            <w:pPr>
              <w:widowControl/>
              <w:jc w:val="both"/>
              <w:rPr>
                <w:rFonts w:ascii="Times New Roman"/>
                <w:szCs w:val="21"/>
              </w:rPr>
            </w:pPr>
            <w:r>
              <w:rPr>
                <w:rFonts w:ascii="Times New Roman"/>
                <w:szCs w:val="21"/>
              </w:rPr>
              <w:t>生产废水经收集后，排入美乐集团污水站综合废水处理设施（处理工艺：A/O生化+过滤深度），处理达标后排入永丰河</w:t>
            </w:r>
          </w:p>
        </w:tc>
        <w:tc>
          <w:tcPr>
            <w:tcW w:w="1701" w:type="dxa"/>
            <w:tcBorders>
              <w:tl2br w:val="nil"/>
              <w:tr2bl w:val="nil"/>
            </w:tcBorders>
            <w:vAlign w:val="center"/>
          </w:tcPr>
          <w:p>
            <w:pPr>
              <w:widowControl/>
              <w:jc w:val="both"/>
              <w:rPr>
                <w:rFonts w:ascii="Times New Roman"/>
                <w:szCs w:val="21"/>
              </w:rPr>
            </w:pPr>
            <w:r>
              <w:rPr>
                <w:rFonts w:ascii="Times New Roman"/>
                <w:szCs w:val="21"/>
              </w:rPr>
              <w:t>依托美乐集团已建污水站综合废水处理设施，设计处理能力为1000t/d，现状实际处理量为</w:t>
            </w:r>
            <w:r>
              <w:rPr>
                <w:rFonts w:hint="eastAsia" w:ascii="Times New Roman"/>
                <w:szCs w:val="21"/>
                <w:lang w:val="en-US" w:eastAsia="zh-CN"/>
              </w:rPr>
              <w:t>30</w:t>
            </w:r>
            <w:r>
              <w:rPr>
                <w:rFonts w:ascii="Times New Roman"/>
                <w:szCs w:val="21"/>
              </w:rPr>
              <w:t>0t/d</w:t>
            </w:r>
          </w:p>
        </w:tc>
        <w:tc>
          <w:tcPr>
            <w:tcW w:w="2853" w:type="dxa"/>
            <w:tcBorders>
              <w:tl2br w:val="nil"/>
              <w:tr2bl w:val="nil"/>
            </w:tcBorders>
            <w:vAlign w:val="center"/>
          </w:tcPr>
          <w:p>
            <w:pPr>
              <w:widowControl/>
              <w:jc w:val="both"/>
              <w:rPr>
                <w:rFonts w:ascii="Times New Roman"/>
                <w:szCs w:val="21"/>
              </w:rPr>
            </w:pPr>
            <w:r>
              <w:rPr>
                <w:rFonts w:ascii="Times New Roman"/>
                <w:szCs w:val="21"/>
              </w:rPr>
              <w:t>生产废水经收集后，排入美乐集团污水站综合废水处理设施（处理工艺：A/O生化+过滤深度），处理达标后排入永丰河</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生活污水</w:t>
            </w:r>
          </w:p>
        </w:tc>
        <w:tc>
          <w:tcPr>
            <w:tcW w:w="3320" w:type="dxa"/>
            <w:tcBorders>
              <w:tl2br w:val="nil"/>
              <w:tr2bl w:val="nil"/>
            </w:tcBorders>
            <w:vAlign w:val="center"/>
          </w:tcPr>
          <w:p>
            <w:pPr>
              <w:widowControl/>
              <w:jc w:val="both"/>
              <w:rPr>
                <w:rFonts w:ascii="Times New Roman"/>
                <w:szCs w:val="21"/>
              </w:rPr>
            </w:pPr>
            <w:r>
              <w:rPr>
                <w:rFonts w:ascii="Times New Roman"/>
                <w:szCs w:val="21"/>
              </w:rPr>
              <w:t>生活污水经化粪池预处理后，接管司徒污水处理厂集中处理，处理达标后排入新河</w:t>
            </w:r>
          </w:p>
        </w:tc>
        <w:tc>
          <w:tcPr>
            <w:tcW w:w="1701" w:type="dxa"/>
            <w:tcBorders>
              <w:tl2br w:val="nil"/>
              <w:tr2bl w:val="nil"/>
            </w:tcBorders>
            <w:vAlign w:val="center"/>
          </w:tcPr>
          <w:p>
            <w:pPr>
              <w:widowControl/>
              <w:jc w:val="both"/>
              <w:rPr>
                <w:rFonts w:ascii="Times New Roman"/>
                <w:szCs w:val="21"/>
              </w:rPr>
            </w:pPr>
            <w:r>
              <w:rPr>
                <w:rFonts w:ascii="Times New Roman"/>
                <w:szCs w:val="21"/>
              </w:rPr>
              <w:t>依托美乐集团已建化粪池</w:t>
            </w:r>
          </w:p>
        </w:tc>
        <w:tc>
          <w:tcPr>
            <w:tcW w:w="2853" w:type="dxa"/>
            <w:tcBorders>
              <w:tl2br w:val="nil"/>
              <w:tr2bl w:val="nil"/>
            </w:tcBorders>
            <w:vAlign w:val="center"/>
          </w:tcPr>
          <w:p>
            <w:pPr>
              <w:widowControl/>
              <w:jc w:val="both"/>
              <w:rPr>
                <w:rFonts w:ascii="Times New Roman"/>
                <w:szCs w:val="21"/>
              </w:rPr>
            </w:pPr>
            <w:r>
              <w:rPr>
                <w:rFonts w:ascii="Times New Roman"/>
                <w:szCs w:val="21"/>
              </w:rPr>
              <w:t>生活污水经化粪池预处理后，接管司徒污水处理厂集中处理，处理达标后排入新河</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restart"/>
            <w:tcBorders>
              <w:tl2br w:val="nil"/>
              <w:tr2bl w:val="nil"/>
            </w:tcBorders>
            <w:vAlign w:val="center"/>
          </w:tcPr>
          <w:p>
            <w:pPr>
              <w:widowControl/>
              <w:jc w:val="center"/>
              <w:rPr>
                <w:rFonts w:ascii="Times New Roman"/>
                <w:szCs w:val="21"/>
              </w:rPr>
            </w:pPr>
            <w:r>
              <w:rPr>
                <w:rFonts w:ascii="Times New Roman"/>
                <w:szCs w:val="21"/>
              </w:rPr>
              <w:t>废气处理</w:t>
            </w:r>
          </w:p>
        </w:tc>
        <w:tc>
          <w:tcPr>
            <w:tcW w:w="1232" w:type="dxa"/>
            <w:tcBorders>
              <w:tl2br w:val="nil"/>
              <w:tr2bl w:val="nil"/>
            </w:tcBorders>
            <w:vAlign w:val="center"/>
          </w:tcPr>
          <w:p>
            <w:pPr>
              <w:widowControl/>
              <w:jc w:val="center"/>
              <w:rPr>
                <w:rFonts w:ascii="Times New Roman"/>
                <w:szCs w:val="21"/>
              </w:rPr>
            </w:pPr>
            <w:r>
              <w:rPr>
                <w:rFonts w:ascii="Times New Roman"/>
                <w:szCs w:val="21"/>
              </w:rPr>
              <w:t>酸洗废气</w:t>
            </w:r>
          </w:p>
        </w:tc>
        <w:tc>
          <w:tcPr>
            <w:tcW w:w="3320" w:type="dxa"/>
            <w:tcBorders>
              <w:tl2br w:val="nil"/>
              <w:tr2bl w:val="nil"/>
            </w:tcBorders>
            <w:vAlign w:val="center"/>
          </w:tcPr>
          <w:p>
            <w:pPr>
              <w:widowControl/>
              <w:jc w:val="center"/>
              <w:rPr>
                <w:rFonts w:ascii="Times New Roman"/>
                <w:szCs w:val="21"/>
              </w:rPr>
            </w:pPr>
            <w:r>
              <w:rPr>
                <w:rFonts w:ascii="Times New Roman"/>
                <w:szCs w:val="21"/>
              </w:rPr>
              <w:t>碱液喷淋塔+15m高排气筒1套</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center"/>
              <w:rPr>
                <w:rFonts w:ascii="Times New Roman"/>
                <w:szCs w:val="21"/>
              </w:rPr>
            </w:pPr>
            <w:r>
              <w:rPr>
                <w:rFonts w:hint="eastAsia" w:ascii="Times New Roman"/>
                <w:szCs w:val="21"/>
              </w:rPr>
              <w:t>未运行</w:t>
            </w:r>
            <w:r>
              <w:rPr>
                <w:rFonts w:ascii="Times New Roman"/>
                <w:szCs w:val="21"/>
              </w:rPr>
              <w:t>，纳入二期验收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抛丸废气</w:t>
            </w:r>
          </w:p>
        </w:tc>
        <w:tc>
          <w:tcPr>
            <w:tcW w:w="3320" w:type="dxa"/>
            <w:tcBorders>
              <w:tl2br w:val="nil"/>
              <w:tr2bl w:val="nil"/>
            </w:tcBorders>
            <w:vAlign w:val="center"/>
          </w:tcPr>
          <w:p>
            <w:pPr>
              <w:widowControl/>
              <w:jc w:val="center"/>
              <w:rPr>
                <w:rFonts w:ascii="Times New Roman"/>
                <w:szCs w:val="21"/>
              </w:rPr>
            </w:pPr>
            <w:r>
              <w:rPr>
                <w:rFonts w:ascii="Times New Roman"/>
                <w:szCs w:val="21"/>
              </w:rPr>
              <w:t>抛丸机配套吸尘器处理</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center"/>
              <w:rPr>
                <w:rFonts w:ascii="Times New Roman"/>
                <w:szCs w:val="21"/>
              </w:rPr>
            </w:pPr>
            <w:r>
              <w:rPr>
                <w:rFonts w:ascii="Times New Roman"/>
                <w:szCs w:val="21"/>
              </w:rPr>
              <w:t>抛丸机配套吸尘器处理</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调漆、喷漆废气</w:t>
            </w:r>
          </w:p>
          <w:p>
            <w:pPr>
              <w:widowControl/>
              <w:jc w:val="center"/>
              <w:rPr>
                <w:rFonts w:ascii="Times New Roman"/>
                <w:szCs w:val="21"/>
              </w:rPr>
            </w:pPr>
          </w:p>
        </w:tc>
        <w:tc>
          <w:tcPr>
            <w:tcW w:w="3320" w:type="dxa"/>
            <w:tcBorders>
              <w:tl2br w:val="nil"/>
              <w:tr2bl w:val="nil"/>
            </w:tcBorders>
            <w:vAlign w:val="center"/>
          </w:tcPr>
          <w:p>
            <w:pPr>
              <w:widowControl/>
              <w:jc w:val="both"/>
              <w:rPr>
                <w:rFonts w:ascii="Times New Roman"/>
                <w:szCs w:val="21"/>
              </w:rPr>
            </w:pPr>
            <w:r>
              <w:rPr>
                <w:rFonts w:ascii="Times New Roman"/>
                <w:szCs w:val="21"/>
              </w:rPr>
              <w:t>水帘湿式除漆雾（手动喷漆）/过滤毡干式除漆雾（静电喷漆）+“水喷淋+UV光催化”装置+15m高排气筒1套</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both"/>
              <w:rPr>
                <w:rFonts w:hint="eastAsia" w:ascii="Times New Roman" w:eastAsiaTheme="minorEastAsia"/>
                <w:szCs w:val="21"/>
                <w:lang w:val="en-US" w:eastAsia="zh-CN"/>
              </w:rPr>
            </w:pPr>
            <w:r>
              <w:rPr>
                <w:rFonts w:ascii="Times New Roman"/>
                <w:szCs w:val="21"/>
              </w:rPr>
              <w:t>水帘湿式除漆雾（手动喷漆）/过滤毡干式除漆雾（静电喷漆）</w:t>
            </w:r>
            <w:r>
              <w:rPr>
                <w:rFonts w:hint="eastAsia" w:ascii="Times New Roman"/>
                <w:szCs w:val="21"/>
                <w:lang w:val="en-US" w:eastAsia="zh-CN"/>
              </w:rPr>
              <w:t>+3套</w:t>
            </w:r>
            <w:r>
              <w:rPr>
                <w:rFonts w:ascii="Times New Roman"/>
                <w:szCs w:val="21"/>
              </w:rPr>
              <w:t>“水喷淋”+</w:t>
            </w:r>
            <w:r>
              <w:rPr>
                <w:rFonts w:hint="eastAsia" w:ascii="Times New Roman"/>
                <w:szCs w:val="21"/>
                <w:lang w:val="en-US" w:eastAsia="zh-CN"/>
              </w:rPr>
              <w:t>1套</w:t>
            </w:r>
            <w:r>
              <w:rPr>
                <w:rFonts w:ascii="Times New Roman"/>
                <w:szCs w:val="21"/>
              </w:rPr>
              <w:t>“UV光催化”装置+15m</w:t>
            </w:r>
            <w:r>
              <w:rPr>
                <w:rFonts w:hint="eastAsia" w:ascii="Times New Roman"/>
                <w:szCs w:val="21"/>
                <w:lang w:val="en-US" w:eastAsia="zh-CN"/>
              </w:rPr>
              <w:t xml:space="preserve"> 1#</w:t>
            </w:r>
            <w:r>
              <w:rPr>
                <w:rFonts w:ascii="Times New Roman"/>
                <w:szCs w:val="21"/>
              </w:rPr>
              <w:t>排气筒</w:t>
            </w:r>
            <w:r>
              <w:rPr>
                <w:rFonts w:hint="eastAsia" w:ascii="Times New Roman"/>
                <w:szCs w:val="21"/>
                <w:lang w:val="en-US" w:eastAsia="zh-CN"/>
              </w:rPr>
              <w:t>排放</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烘干废气</w:t>
            </w:r>
          </w:p>
        </w:tc>
        <w:tc>
          <w:tcPr>
            <w:tcW w:w="3320" w:type="dxa"/>
            <w:tcBorders>
              <w:tl2br w:val="nil"/>
              <w:tr2bl w:val="nil"/>
            </w:tcBorders>
            <w:vAlign w:val="center"/>
          </w:tcPr>
          <w:p>
            <w:pPr>
              <w:widowControl/>
              <w:jc w:val="both"/>
              <w:rPr>
                <w:rFonts w:hint="default" w:ascii="Times New Roman" w:eastAsiaTheme="minorEastAsia"/>
                <w:szCs w:val="21"/>
                <w:lang w:val="en-US" w:eastAsia="zh-CN"/>
              </w:rPr>
            </w:pPr>
            <w:r>
              <w:rPr>
                <w:rFonts w:hint="eastAsia" w:ascii="Times New Roman"/>
                <w:szCs w:val="21"/>
                <w:lang w:val="en-US" w:eastAsia="zh-CN"/>
              </w:rPr>
              <w:t>与调漆喷漆废气合并通过3#排气筒排放</w:t>
            </w:r>
          </w:p>
        </w:tc>
        <w:tc>
          <w:tcPr>
            <w:tcW w:w="1701" w:type="dxa"/>
            <w:tcBorders>
              <w:tl2br w:val="nil"/>
              <w:tr2bl w:val="nil"/>
            </w:tcBorders>
            <w:vAlign w:val="center"/>
          </w:tcPr>
          <w:p>
            <w:pPr>
              <w:widowControl/>
              <w:jc w:val="center"/>
              <w:rPr>
                <w:rFonts w:hint="eastAsia" w:ascii="Times New Roman" w:eastAsiaTheme="minorEastAsia"/>
                <w:szCs w:val="21"/>
                <w:lang w:val="en-US" w:eastAsia="zh-CN"/>
              </w:rPr>
            </w:pPr>
            <w:r>
              <w:rPr>
                <w:rFonts w:hint="eastAsia" w:ascii="Times New Roman"/>
                <w:szCs w:val="21"/>
                <w:lang w:val="en-US" w:eastAsia="zh-CN"/>
              </w:rPr>
              <w:t>新建</w:t>
            </w:r>
          </w:p>
        </w:tc>
        <w:tc>
          <w:tcPr>
            <w:tcW w:w="2853" w:type="dxa"/>
            <w:tcBorders>
              <w:tl2br w:val="nil"/>
              <w:tr2bl w:val="nil"/>
            </w:tcBorders>
            <w:vAlign w:val="center"/>
          </w:tcPr>
          <w:p>
            <w:pPr>
              <w:widowControl/>
              <w:jc w:val="both"/>
              <w:rPr>
                <w:rFonts w:hint="default" w:ascii="Times New Roman" w:eastAsiaTheme="minorEastAsia"/>
                <w:szCs w:val="21"/>
                <w:lang w:val="en-US" w:eastAsia="zh-CN"/>
              </w:rPr>
            </w:pPr>
            <w:r>
              <w:rPr>
                <w:rFonts w:hint="eastAsia" w:ascii="Times New Roman"/>
                <w:szCs w:val="21"/>
                <w:lang w:val="en-US" w:eastAsia="zh-CN"/>
              </w:rPr>
              <w:t>与烘干工段天然气燃烧废气合并，1套</w:t>
            </w:r>
            <w:r>
              <w:rPr>
                <w:rFonts w:ascii="Times New Roman"/>
                <w:szCs w:val="21"/>
              </w:rPr>
              <w:t>“水喷淋+UV光催化”装置+15m</w:t>
            </w:r>
            <w:r>
              <w:rPr>
                <w:rFonts w:hint="eastAsia" w:ascii="Times New Roman"/>
                <w:szCs w:val="21"/>
                <w:lang w:val="en-US" w:eastAsia="zh-CN"/>
              </w:rPr>
              <w:t xml:space="preserve"> 2#</w:t>
            </w:r>
            <w:r>
              <w:rPr>
                <w:rFonts w:ascii="Times New Roman"/>
                <w:szCs w:val="21"/>
              </w:rPr>
              <w:t>排气筒</w:t>
            </w:r>
            <w:r>
              <w:rPr>
                <w:rFonts w:hint="eastAsia" w:ascii="Times New Roman"/>
                <w:szCs w:val="21"/>
                <w:lang w:val="en-US" w:eastAsia="zh-CN"/>
              </w:rPr>
              <w:t>排放</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锅炉天然气燃烧废气</w:t>
            </w:r>
          </w:p>
        </w:tc>
        <w:tc>
          <w:tcPr>
            <w:tcW w:w="3320" w:type="dxa"/>
            <w:tcBorders>
              <w:tl2br w:val="nil"/>
              <w:tr2bl w:val="nil"/>
            </w:tcBorders>
            <w:vAlign w:val="center"/>
          </w:tcPr>
          <w:p>
            <w:pPr>
              <w:widowControl/>
              <w:jc w:val="center"/>
              <w:rPr>
                <w:rFonts w:ascii="Times New Roman"/>
                <w:szCs w:val="21"/>
              </w:rPr>
            </w:pPr>
            <w:r>
              <w:rPr>
                <w:rFonts w:ascii="Times New Roman"/>
                <w:szCs w:val="21"/>
              </w:rPr>
              <w:t>15m高排气筒1根</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center"/>
              <w:rPr>
                <w:rFonts w:ascii="Times New Roman"/>
                <w:szCs w:val="21"/>
              </w:rPr>
            </w:pPr>
            <w:r>
              <w:rPr>
                <w:rFonts w:hint="eastAsia" w:ascii="Times New Roman"/>
                <w:szCs w:val="21"/>
              </w:rPr>
              <w:t>未运行</w:t>
            </w:r>
            <w:r>
              <w:rPr>
                <w:rFonts w:ascii="Times New Roman"/>
                <w:szCs w:val="21"/>
              </w:rPr>
              <w:t>，纳入二期验收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color w:val="auto"/>
                <w:szCs w:val="21"/>
              </w:rPr>
            </w:pPr>
            <w:r>
              <w:rPr>
                <w:rFonts w:ascii="Times New Roman"/>
                <w:color w:val="auto"/>
                <w:szCs w:val="21"/>
              </w:rPr>
              <w:t>烘干工段天然气燃烧废气</w:t>
            </w:r>
          </w:p>
        </w:tc>
        <w:tc>
          <w:tcPr>
            <w:tcW w:w="3320" w:type="dxa"/>
            <w:tcBorders>
              <w:tl2br w:val="nil"/>
              <w:tr2bl w:val="nil"/>
            </w:tcBorders>
            <w:vAlign w:val="center"/>
          </w:tcPr>
          <w:p>
            <w:pPr>
              <w:widowControl/>
              <w:jc w:val="center"/>
              <w:rPr>
                <w:rFonts w:ascii="Times New Roman"/>
                <w:color w:val="auto"/>
                <w:szCs w:val="21"/>
              </w:rPr>
            </w:pPr>
            <w:r>
              <w:rPr>
                <w:rFonts w:ascii="Times New Roman"/>
                <w:color w:val="auto"/>
                <w:szCs w:val="21"/>
              </w:rPr>
              <w:t>15m高排气筒4根</w:t>
            </w:r>
          </w:p>
        </w:tc>
        <w:tc>
          <w:tcPr>
            <w:tcW w:w="1701" w:type="dxa"/>
            <w:tcBorders>
              <w:tl2br w:val="nil"/>
              <w:tr2bl w:val="nil"/>
            </w:tcBorders>
            <w:vAlign w:val="center"/>
          </w:tcPr>
          <w:p>
            <w:pPr>
              <w:widowControl/>
              <w:jc w:val="center"/>
              <w:rPr>
                <w:rFonts w:ascii="Times New Roman"/>
                <w:color w:val="FF0000"/>
                <w:szCs w:val="21"/>
              </w:rPr>
            </w:pPr>
            <w:r>
              <w:rPr>
                <w:rFonts w:ascii="Times New Roman"/>
                <w:color w:val="auto"/>
                <w:szCs w:val="21"/>
              </w:rPr>
              <w:t>新建</w:t>
            </w:r>
          </w:p>
        </w:tc>
        <w:tc>
          <w:tcPr>
            <w:tcW w:w="2853" w:type="dxa"/>
            <w:tcBorders>
              <w:tl2br w:val="nil"/>
              <w:tr2bl w:val="nil"/>
            </w:tcBorders>
            <w:vAlign w:val="center"/>
          </w:tcPr>
          <w:p>
            <w:pPr>
              <w:widowControl/>
              <w:jc w:val="both"/>
              <w:rPr>
                <w:rFonts w:hint="eastAsia" w:ascii="Times New Roman" w:eastAsiaTheme="minorEastAsia"/>
                <w:color w:val="FF0000"/>
                <w:szCs w:val="21"/>
                <w:lang w:val="en-US" w:eastAsia="zh-CN"/>
              </w:rPr>
            </w:pPr>
            <w:r>
              <w:rPr>
                <w:rFonts w:hint="eastAsia" w:ascii="Times New Roman"/>
                <w:szCs w:val="21"/>
                <w:lang w:val="en-US" w:eastAsia="zh-CN"/>
              </w:rPr>
              <w:t>与烘干废气合并，1套</w:t>
            </w:r>
            <w:r>
              <w:rPr>
                <w:rFonts w:ascii="Times New Roman"/>
                <w:szCs w:val="21"/>
              </w:rPr>
              <w:t>“水喷淋+UV光催化”装置+15m</w:t>
            </w:r>
            <w:r>
              <w:rPr>
                <w:rFonts w:hint="eastAsia" w:ascii="Times New Roman"/>
                <w:szCs w:val="21"/>
                <w:lang w:val="en-US" w:eastAsia="zh-CN"/>
              </w:rPr>
              <w:t xml:space="preserve"> 2#</w:t>
            </w:r>
            <w:r>
              <w:rPr>
                <w:rFonts w:ascii="Times New Roman"/>
                <w:szCs w:val="21"/>
              </w:rPr>
              <w:t>排气筒</w:t>
            </w:r>
            <w:r>
              <w:rPr>
                <w:rFonts w:hint="eastAsia" w:ascii="Times New Roman"/>
                <w:szCs w:val="21"/>
                <w:lang w:val="en-US" w:eastAsia="zh-CN"/>
              </w:rPr>
              <w:t>排放</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餐饮油烟</w:t>
            </w:r>
          </w:p>
        </w:tc>
        <w:tc>
          <w:tcPr>
            <w:tcW w:w="3320" w:type="dxa"/>
            <w:tcBorders>
              <w:tl2br w:val="nil"/>
              <w:tr2bl w:val="nil"/>
            </w:tcBorders>
            <w:vAlign w:val="center"/>
          </w:tcPr>
          <w:p>
            <w:pPr>
              <w:widowControl/>
              <w:jc w:val="center"/>
              <w:rPr>
                <w:rFonts w:ascii="Times New Roman"/>
                <w:szCs w:val="21"/>
              </w:rPr>
            </w:pPr>
            <w:r>
              <w:rPr>
                <w:rFonts w:ascii="Times New Roman"/>
                <w:szCs w:val="21"/>
              </w:rPr>
              <w:t>油烟净化器处理</w:t>
            </w:r>
          </w:p>
        </w:tc>
        <w:tc>
          <w:tcPr>
            <w:tcW w:w="1701" w:type="dxa"/>
            <w:tcBorders>
              <w:tl2br w:val="nil"/>
              <w:tr2bl w:val="nil"/>
            </w:tcBorders>
            <w:vAlign w:val="center"/>
          </w:tcPr>
          <w:p>
            <w:pPr>
              <w:widowControl/>
              <w:jc w:val="both"/>
              <w:rPr>
                <w:rFonts w:ascii="Times New Roman"/>
                <w:szCs w:val="21"/>
              </w:rPr>
            </w:pPr>
            <w:r>
              <w:rPr>
                <w:rFonts w:ascii="Times New Roman"/>
                <w:szCs w:val="21"/>
              </w:rPr>
              <w:t>依托美乐集团现有油烟净化器</w:t>
            </w:r>
          </w:p>
        </w:tc>
        <w:tc>
          <w:tcPr>
            <w:tcW w:w="2853" w:type="dxa"/>
            <w:tcBorders>
              <w:tl2br w:val="nil"/>
              <w:tr2bl w:val="nil"/>
            </w:tcBorders>
            <w:vAlign w:val="center"/>
          </w:tcPr>
          <w:p>
            <w:pPr>
              <w:widowControl/>
              <w:jc w:val="center"/>
              <w:rPr>
                <w:rFonts w:ascii="Times New Roman"/>
                <w:szCs w:val="21"/>
              </w:rPr>
            </w:pPr>
            <w:r>
              <w:rPr>
                <w:rFonts w:ascii="Times New Roman"/>
                <w:szCs w:val="21"/>
              </w:rPr>
              <w:t>油烟净化器处理</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噪声防治</w:t>
            </w:r>
          </w:p>
        </w:tc>
        <w:tc>
          <w:tcPr>
            <w:tcW w:w="3320" w:type="dxa"/>
            <w:tcBorders>
              <w:tl2br w:val="nil"/>
              <w:tr2bl w:val="nil"/>
            </w:tcBorders>
            <w:vAlign w:val="center"/>
          </w:tcPr>
          <w:p>
            <w:pPr>
              <w:widowControl/>
              <w:jc w:val="both"/>
              <w:rPr>
                <w:rFonts w:ascii="Times New Roman"/>
                <w:szCs w:val="21"/>
              </w:rPr>
            </w:pPr>
            <w:r>
              <w:rPr>
                <w:rFonts w:ascii="Times New Roman"/>
                <w:szCs w:val="21"/>
              </w:rPr>
              <w:t>优选低噪声设备，基础减振、隔声等</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both"/>
              <w:rPr>
                <w:rFonts w:ascii="Times New Roman"/>
                <w:szCs w:val="21"/>
              </w:rPr>
            </w:pPr>
            <w:r>
              <w:rPr>
                <w:rFonts w:ascii="Times New Roman"/>
                <w:szCs w:val="21"/>
              </w:rPr>
              <w:t>优选低噪声设备，基础减振、隔声等</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restart"/>
            <w:tcBorders>
              <w:tl2br w:val="nil"/>
              <w:tr2bl w:val="nil"/>
            </w:tcBorders>
            <w:vAlign w:val="center"/>
          </w:tcPr>
          <w:p>
            <w:pPr>
              <w:widowControl/>
              <w:jc w:val="center"/>
              <w:rPr>
                <w:rFonts w:ascii="Times New Roman"/>
                <w:szCs w:val="21"/>
              </w:rPr>
            </w:pPr>
            <w:r>
              <w:rPr>
                <w:rFonts w:ascii="Times New Roman"/>
                <w:szCs w:val="21"/>
              </w:rPr>
              <w:t>固废暂存</w:t>
            </w:r>
          </w:p>
        </w:tc>
        <w:tc>
          <w:tcPr>
            <w:tcW w:w="1232" w:type="dxa"/>
            <w:tcBorders>
              <w:tl2br w:val="nil"/>
              <w:tr2bl w:val="nil"/>
            </w:tcBorders>
            <w:vAlign w:val="center"/>
          </w:tcPr>
          <w:p>
            <w:pPr>
              <w:widowControl/>
              <w:jc w:val="center"/>
              <w:rPr>
                <w:rFonts w:ascii="Times New Roman"/>
                <w:szCs w:val="21"/>
              </w:rPr>
            </w:pPr>
            <w:r>
              <w:rPr>
                <w:rFonts w:ascii="Times New Roman"/>
                <w:szCs w:val="21"/>
              </w:rPr>
              <w:t>一般固废堆场</w:t>
            </w:r>
          </w:p>
        </w:tc>
        <w:tc>
          <w:tcPr>
            <w:tcW w:w="3320" w:type="dxa"/>
            <w:tcBorders>
              <w:tl2br w:val="nil"/>
              <w:tr2bl w:val="nil"/>
            </w:tcBorders>
            <w:vAlign w:val="center"/>
          </w:tcPr>
          <w:p>
            <w:pPr>
              <w:widowControl/>
              <w:jc w:val="center"/>
              <w:rPr>
                <w:rFonts w:ascii="Times New Roman"/>
                <w:szCs w:val="21"/>
              </w:rPr>
            </w:pPr>
            <w:r>
              <w:rPr>
                <w:rFonts w:ascii="Times New Roman"/>
                <w:szCs w:val="21"/>
              </w:rPr>
              <w:t>30m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center"/>
              <w:rPr>
                <w:rFonts w:ascii="Times New Roman"/>
                <w:szCs w:val="21"/>
              </w:rPr>
            </w:pPr>
            <w:r>
              <w:rPr>
                <w:rFonts w:ascii="Times New Roman"/>
                <w:szCs w:val="21"/>
              </w:rPr>
              <w:t>30m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692" w:type="dxa"/>
            <w:vMerge w:val="continue"/>
            <w:tcBorders>
              <w:tl2br w:val="nil"/>
              <w:tr2bl w:val="nil"/>
            </w:tcBorders>
            <w:vAlign w:val="center"/>
          </w:tcPr>
          <w:p>
            <w:pPr>
              <w:widowControl/>
              <w:jc w:val="center"/>
              <w:rPr>
                <w:rFonts w:ascii="Times New Roman"/>
                <w:szCs w:val="21"/>
              </w:rPr>
            </w:pPr>
          </w:p>
        </w:tc>
        <w:tc>
          <w:tcPr>
            <w:tcW w:w="1232" w:type="dxa"/>
            <w:tcBorders>
              <w:tl2br w:val="nil"/>
              <w:tr2bl w:val="nil"/>
            </w:tcBorders>
            <w:vAlign w:val="center"/>
          </w:tcPr>
          <w:p>
            <w:pPr>
              <w:widowControl/>
              <w:jc w:val="center"/>
              <w:rPr>
                <w:rFonts w:ascii="Times New Roman"/>
                <w:szCs w:val="21"/>
              </w:rPr>
            </w:pPr>
            <w:r>
              <w:rPr>
                <w:rFonts w:ascii="Times New Roman"/>
                <w:szCs w:val="21"/>
              </w:rPr>
              <w:t>危险废物堆场</w:t>
            </w:r>
          </w:p>
        </w:tc>
        <w:tc>
          <w:tcPr>
            <w:tcW w:w="3320" w:type="dxa"/>
            <w:tcBorders>
              <w:tl2br w:val="nil"/>
              <w:tr2bl w:val="nil"/>
            </w:tcBorders>
            <w:vAlign w:val="center"/>
          </w:tcPr>
          <w:p>
            <w:pPr>
              <w:widowControl/>
              <w:jc w:val="center"/>
              <w:rPr>
                <w:rFonts w:ascii="Times New Roman"/>
                <w:szCs w:val="21"/>
              </w:rPr>
            </w:pPr>
            <w:r>
              <w:rPr>
                <w:rFonts w:ascii="Times New Roman"/>
                <w:szCs w:val="21"/>
              </w:rPr>
              <w:t>20m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center"/>
              <w:rPr>
                <w:rFonts w:ascii="Times New Roman"/>
                <w:szCs w:val="21"/>
              </w:rPr>
            </w:pPr>
            <w:r>
              <w:rPr>
                <w:rFonts w:ascii="Times New Roman"/>
                <w:szCs w:val="21"/>
              </w:rPr>
              <w:t>20m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vMerge w:val="restart"/>
            <w:tcBorders>
              <w:tl2br w:val="nil"/>
              <w:tr2bl w:val="nil"/>
            </w:tcBorders>
            <w:vAlign w:val="center"/>
          </w:tcPr>
          <w:p>
            <w:pPr>
              <w:widowControl/>
              <w:jc w:val="center"/>
              <w:rPr>
                <w:rFonts w:ascii="Times New Roman"/>
                <w:szCs w:val="21"/>
              </w:rPr>
            </w:pPr>
            <w:r>
              <w:rPr>
                <w:rFonts w:ascii="Times New Roman"/>
                <w:szCs w:val="21"/>
              </w:rPr>
              <w:t>环境风险防范</w:t>
            </w:r>
          </w:p>
        </w:tc>
        <w:tc>
          <w:tcPr>
            <w:tcW w:w="3320" w:type="dxa"/>
            <w:tcBorders>
              <w:tl2br w:val="nil"/>
              <w:tr2bl w:val="nil"/>
            </w:tcBorders>
            <w:vAlign w:val="center"/>
          </w:tcPr>
          <w:p>
            <w:pPr>
              <w:widowControl/>
              <w:jc w:val="both"/>
              <w:rPr>
                <w:rFonts w:ascii="Times New Roman"/>
                <w:szCs w:val="21"/>
              </w:rPr>
            </w:pPr>
            <w:r>
              <w:rPr>
                <w:rFonts w:ascii="Times New Roman"/>
                <w:szCs w:val="21"/>
              </w:rPr>
              <w:t>本项目建设有效容积80 m</w:t>
            </w:r>
            <w:r>
              <w:rPr>
                <w:rFonts w:ascii="Times New Roman"/>
                <w:szCs w:val="21"/>
                <w:vertAlign w:val="superscript"/>
              </w:rPr>
              <w:t>3</w:t>
            </w:r>
            <w:r>
              <w:rPr>
                <w:rFonts w:ascii="Times New Roman"/>
                <w:szCs w:val="21"/>
              </w:rPr>
              <w:t>事故应急池1座，用以容纳前处理生产线的事故废水</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both"/>
              <w:rPr>
                <w:rFonts w:ascii="Times New Roman"/>
                <w:szCs w:val="21"/>
              </w:rPr>
            </w:pPr>
            <w:r>
              <w:rPr>
                <w:rFonts w:ascii="Times New Roman"/>
                <w:szCs w:val="21"/>
              </w:rPr>
              <w:t>本项目建设有效容积80 m</w:t>
            </w:r>
            <w:r>
              <w:rPr>
                <w:rFonts w:ascii="Times New Roman"/>
                <w:szCs w:val="21"/>
                <w:vertAlign w:val="superscript"/>
              </w:rPr>
              <w:t>3</w:t>
            </w:r>
            <w:r>
              <w:rPr>
                <w:rFonts w:ascii="Times New Roman"/>
                <w:szCs w:val="21"/>
              </w:rPr>
              <w:t>事故应急池1座，用以容纳前处理生产线的事故废水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vMerge w:val="continue"/>
            <w:tcBorders>
              <w:tl2br w:val="nil"/>
              <w:tr2bl w:val="nil"/>
            </w:tcBorders>
            <w:vAlign w:val="center"/>
          </w:tcPr>
          <w:p>
            <w:pPr>
              <w:widowControl/>
              <w:jc w:val="center"/>
              <w:rPr>
                <w:rFonts w:ascii="Times New Roman"/>
                <w:szCs w:val="21"/>
              </w:rPr>
            </w:pPr>
          </w:p>
        </w:tc>
        <w:tc>
          <w:tcPr>
            <w:tcW w:w="3320" w:type="dxa"/>
            <w:tcBorders>
              <w:tl2br w:val="nil"/>
              <w:tr2bl w:val="nil"/>
            </w:tcBorders>
            <w:vAlign w:val="center"/>
          </w:tcPr>
          <w:p>
            <w:pPr>
              <w:widowControl/>
              <w:jc w:val="both"/>
              <w:rPr>
                <w:rFonts w:ascii="Times New Roman"/>
                <w:szCs w:val="21"/>
              </w:rPr>
            </w:pPr>
            <w:r>
              <w:rPr>
                <w:rFonts w:ascii="Times New Roman"/>
                <w:szCs w:val="21"/>
              </w:rPr>
              <w:t>火灾爆炸消防废水依托美乐集团已建545 m</w:t>
            </w:r>
            <w:r>
              <w:rPr>
                <w:rFonts w:ascii="Times New Roman"/>
                <w:szCs w:val="21"/>
                <w:vertAlign w:val="superscript"/>
              </w:rPr>
              <w:t>3</w:t>
            </w:r>
            <w:r>
              <w:rPr>
                <w:rFonts w:ascii="Times New Roman"/>
                <w:szCs w:val="21"/>
              </w:rPr>
              <w:t>事故应急池</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w:t>
            </w:r>
          </w:p>
        </w:tc>
        <w:tc>
          <w:tcPr>
            <w:tcW w:w="2853" w:type="dxa"/>
            <w:tcBorders>
              <w:tl2br w:val="nil"/>
              <w:tr2bl w:val="nil"/>
            </w:tcBorders>
            <w:vAlign w:val="center"/>
          </w:tcPr>
          <w:p>
            <w:pPr>
              <w:widowControl/>
              <w:jc w:val="both"/>
              <w:rPr>
                <w:rFonts w:ascii="Times New Roman"/>
                <w:szCs w:val="21"/>
              </w:rPr>
            </w:pPr>
            <w:r>
              <w:rPr>
                <w:rFonts w:ascii="Times New Roman"/>
                <w:szCs w:val="21"/>
              </w:rPr>
              <w:t>火灾爆炸消防废水依托美乐集团已建545 m</w:t>
            </w:r>
            <w:r>
              <w:rPr>
                <w:rFonts w:ascii="Times New Roman"/>
                <w:szCs w:val="21"/>
                <w:vertAlign w:val="superscript"/>
              </w:rPr>
              <w:t>3</w:t>
            </w:r>
            <w:r>
              <w:rPr>
                <w:rFonts w:ascii="Times New Roman"/>
                <w:szCs w:val="21"/>
              </w:rPr>
              <w:t>事故应急池</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tcBorders>
              <w:tl2br w:val="nil"/>
              <w:tr2bl w:val="nil"/>
            </w:tcBorders>
            <w:vAlign w:val="center"/>
          </w:tcPr>
          <w:p>
            <w:pPr>
              <w:widowControl/>
              <w:jc w:val="center"/>
              <w:rPr>
                <w:rFonts w:ascii="Times New Roman"/>
                <w:szCs w:val="21"/>
              </w:rPr>
            </w:pPr>
            <w:r>
              <w:rPr>
                <w:rFonts w:ascii="Times New Roman"/>
                <w:szCs w:val="21"/>
              </w:rPr>
              <w:t>厂区绿化</w:t>
            </w:r>
          </w:p>
        </w:tc>
        <w:tc>
          <w:tcPr>
            <w:tcW w:w="3320" w:type="dxa"/>
            <w:tcBorders>
              <w:tl2br w:val="nil"/>
              <w:tr2bl w:val="nil"/>
            </w:tcBorders>
            <w:vAlign w:val="center"/>
          </w:tcPr>
          <w:p>
            <w:pPr>
              <w:widowControl/>
              <w:jc w:val="center"/>
              <w:rPr>
                <w:rFonts w:ascii="Times New Roman"/>
                <w:szCs w:val="21"/>
              </w:rPr>
            </w:pPr>
            <w:r>
              <w:rPr>
                <w:rFonts w:ascii="Times New Roman"/>
                <w:szCs w:val="21"/>
              </w:rPr>
              <w:t>绿化面积200m</w:t>
            </w:r>
            <w:r>
              <w:rPr>
                <w:rFonts w:ascii="Times New Roman"/>
                <w:szCs w:val="21"/>
                <w:vertAlign w:val="superscript"/>
              </w:rPr>
              <w:t>2</w:t>
            </w:r>
          </w:p>
        </w:tc>
        <w:tc>
          <w:tcPr>
            <w:tcW w:w="1701" w:type="dxa"/>
            <w:tcBorders>
              <w:tl2br w:val="nil"/>
              <w:tr2bl w:val="nil"/>
            </w:tcBorders>
            <w:vAlign w:val="center"/>
          </w:tcPr>
          <w:p>
            <w:pPr>
              <w:widowControl/>
              <w:jc w:val="center"/>
              <w:rPr>
                <w:rFonts w:ascii="Times New Roman"/>
                <w:szCs w:val="21"/>
              </w:rPr>
            </w:pPr>
            <w:r>
              <w:rPr>
                <w:rFonts w:ascii="Times New Roman"/>
                <w:szCs w:val="21"/>
              </w:rPr>
              <w:t>新增</w:t>
            </w:r>
          </w:p>
        </w:tc>
        <w:tc>
          <w:tcPr>
            <w:tcW w:w="2853" w:type="dxa"/>
            <w:tcBorders>
              <w:tl2br w:val="nil"/>
              <w:tr2bl w:val="nil"/>
            </w:tcBorders>
            <w:vAlign w:val="center"/>
          </w:tcPr>
          <w:p>
            <w:pPr>
              <w:widowControl/>
              <w:jc w:val="center"/>
              <w:rPr>
                <w:rFonts w:ascii="Times New Roman"/>
                <w:szCs w:val="21"/>
              </w:rPr>
            </w:pPr>
            <w:r>
              <w:rPr>
                <w:rFonts w:ascii="Times New Roman"/>
                <w:szCs w:val="21"/>
              </w:rPr>
              <w:t>绿化面积200m</w:t>
            </w:r>
            <w:r>
              <w:rPr>
                <w:rFonts w:ascii="Times New Roman"/>
                <w:szCs w:val="21"/>
                <w:vertAlign w:val="superscript"/>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vMerge w:val="restart"/>
            <w:tcBorders>
              <w:tl2br w:val="nil"/>
              <w:tr2bl w:val="nil"/>
            </w:tcBorders>
            <w:vAlign w:val="center"/>
          </w:tcPr>
          <w:p>
            <w:pPr>
              <w:widowControl/>
              <w:jc w:val="center"/>
              <w:rPr>
                <w:rFonts w:ascii="Times New Roman"/>
                <w:szCs w:val="21"/>
              </w:rPr>
            </w:pPr>
            <w:r>
              <w:rPr>
                <w:rFonts w:ascii="Times New Roman"/>
                <w:szCs w:val="21"/>
              </w:rPr>
              <w:t>排污口规范化设置</w:t>
            </w:r>
          </w:p>
        </w:tc>
        <w:tc>
          <w:tcPr>
            <w:tcW w:w="3320" w:type="dxa"/>
            <w:tcBorders>
              <w:tl2br w:val="nil"/>
              <w:tr2bl w:val="nil"/>
            </w:tcBorders>
            <w:vAlign w:val="center"/>
          </w:tcPr>
          <w:p>
            <w:pPr>
              <w:widowControl/>
              <w:jc w:val="both"/>
              <w:rPr>
                <w:rFonts w:ascii="Times New Roman"/>
                <w:szCs w:val="21"/>
              </w:rPr>
            </w:pPr>
            <w:r>
              <w:rPr>
                <w:rFonts w:ascii="Times New Roman"/>
                <w:szCs w:val="21"/>
              </w:rPr>
              <w:t>废气排口设置监测采样孔；废气排口和固废临时堆场设置环保标识</w:t>
            </w:r>
          </w:p>
        </w:tc>
        <w:tc>
          <w:tcPr>
            <w:tcW w:w="1701" w:type="dxa"/>
            <w:tcBorders>
              <w:tl2br w:val="nil"/>
              <w:tr2bl w:val="nil"/>
            </w:tcBorders>
            <w:vAlign w:val="center"/>
          </w:tcPr>
          <w:p>
            <w:pPr>
              <w:widowControl/>
              <w:jc w:val="center"/>
              <w:rPr>
                <w:rFonts w:ascii="Times New Roman"/>
                <w:szCs w:val="21"/>
              </w:rPr>
            </w:pPr>
            <w:r>
              <w:rPr>
                <w:rFonts w:ascii="Times New Roman"/>
                <w:szCs w:val="21"/>
              </w:rPr>
              <w:t>新建</w:t>
            </w:r>
          </w:p>
        </w:tc>
        <w:tc>
          <w:tcPr>
            <w:tcW w:w="2853" w:type="dxa"/>
            <w:tcBorders>
              <w:tl2br w:val="nil"/>
              <w:tr2bl w:val="nil"/>
            </w:tcBorders>
            <w:vAlign w:val="center"/>
          </w:tcPr>
          <w:p>
            <w:pPr>
              <w:widowControl/>
              <w:jc w:val="both"/>
              <w:rPr>
                <w:rFonts w:ascii="Times New Roman"/>
                <w:szCs w:val="21"/>
              </w:rPr>
            </w:pPr>
            <w:r>
              <w:rPr>
                <w:rFonts w:ascii="Times New Roman"/>
                <w:szCs w:val="21"/>
              </w:rPr>
              <w:t>废气排口设置监测采样孔；废气排口和固废临时堆场设置环保标识</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2" w:type="dxa"/>
            <w:vMerge w:val="continue"/>
            <w:tcBorders>
              <w:tl2br w:val="nil"/>
              <w:tr2bl w:val="nil"/>
            </w:tcBorders>
            <w:vAlign w:val="center"/>
          </w:tcPr>
          <w:p>
            <w:pPr>
              <w:widowControl/>
              <w:jc w:val="center"/>
              <w:rPr>
                <w:rFonts w:ascii="Times New Roman"/>
                <w:szCs w:val="21"/>
              </w:rPr>
            </w:pPr>
          </w:p>
        </w:tc>
        <w:tc>
          <w:tcPr>
            <w:tcW w:w="1924" w:type="dxa"/>
            <w:gridSpan w:val="2"/>
            <w:vMerge w:val="continue"/>
            <w:tcBorders>
              <w:tl2br w:val="nil"/>
              <w:tr2bl w:val="nil"/>
            </w:tcBorders>
            <w:vAlign w:val="center"/>
          </w:tcPr>
          <w:p>
            <w:pPr>
              <w:widowControl/>
              <w:jc w:val="center"/>
              <w:rPr>
                <w:rFonts w:ascii="Times New Roman"/>
                <w:szCs w:val="21"/>
              </w:rPr>
            </w:pPr>
          </w:p>
        </w:tc>
        <w:tc>
          <w:tcPr>
            <w:tcW w:w="3320" w:type="dxa"/>
            <w:tcBorders>
              <w:tl2br w:val="nil"/>
              <w:tr2bl w:val="nil"/>
            </w:tcBorders>
            <w:vAlign w:val="center"/>
          </w:tcPr>
          <w:p>
            <w:pPr>
              <w:widowControl/>
              <w:jc w:val="both"/>
              <w:rPr>
                <w:rFonts w:ascii="Times New Roman"/>
                <w:szCs w:val="21"/>
              </w:rPr>
            </w:pPr>
            <w:r>
              <w:rPr>
                <w:rFonts w:ascii="Times New Roman"/>
                <w:szCs w:val="21"/>
              </w:rPr>
              <w:t>生产废水排放口、生活污水接管口环保标识依托美乐集团已建标识</w:t>
            </w:r>
          </w:p>
        </w:tc>
        <w:tc>
          <w:tcPr>
            <w:tcW w:w="1701" w:type="dxa"/>
            <w:tcBorders>
              <w:tl2br w:val="nil"/>
              <w:tr2bl w:val="nil"/>
            </w:tcBorders>
            <w:vAlign w:val="center"/>
          </w:tcPr>
          <w:p>
            <w:pPr>
              <w:widowControl/>
              <w:jc w:val="center"/>
              <w:rPr>
                <w:rFonts w:ascii="Times New Roman"/>
                <w:szCs w:val="21"/>
              </w:rPr>
            </w:pPr>
            <w:r>
              <w:rPr>
                <w:rFonts w:ascii="Times New Roman"/>
                <w:szCs w:val="21"/>
              </w:rPr>
              <w:t>依托美乐集团现有环保标识</w:t>
            </w:r>
          </w:p>
        </w:tc>
        <w:tc>
          <w:tcPr>
            <w:tcW w:w="2853" w:type="dxa"/>
            <w:tcBorders>
              <w:tl2br w:val="nil"/>
              <w:tr2bl w:val="nil"/>
            </w:tcBorders>
            <w:vAlign w:val="center"/>
          </w:tcPr>
          <w:p>
            <w:pPr>
              <w:widowControl/>
              <w:jc w:val="both"/>
              <w:rPr>
                <w:rFonts w:ascii="Times New Roman"/>
                <w:szCs w:val="21"/>
              </w:rPr>
            </w:pPr>
            <w:r>
              <w:rPr>
                <w:rFonts w:ascii="Times New Roman"/>
                <w:szCs w:val="21"/>
              </w:rPr>
              <w:t>生产废水排放口、生活污水接管口环保标识依托美乐集团已建标识</w:t>
            </w:r>
          </w:p>
        </w:tc>
      </w:tr>
    </w:tbl>
    <w:p>
      <w:pPr>
        <w:widowControl/>
        <w:jc w:val="center"/>
        <w:rPr>
          <w:rFonts w:ascii="Times New Roman"/>
          <w:b/>
          <w:szCs w:val="21"/>
        </w:rPr>
        <w:sectPr>
          <w:pgSz w:w="11906" w:h="16838"/>
          <w:pgMar w:top="1440" w:right="1800" w:bottom="1361" w:left="1800" w:header="851" w:footer="992" w:gutter="0"/>
          <w:cols w:space="425" w:num="1"/>
          <w:docGrid w:type="lines" w:linePitch="312" w:charSpace="0"/>
        </w:sectPr>
      </w:pPr>
    </w:p>
    <w:p>
      <w:pPr>
        <w:pStyle w:val="7"/>
        <w:widowControl/>
        <w:jc w:val="center"/>
        <w:rPr>
          <w:rFonts w:ascii="Times New Roman" w:cs="Times New Roman"/>
          <w:b/>
          <w:szCs w:val="21"/>
        </w:rPr>
      </w:pPr>
      <w:r>
        <w:t>表</w:t>
      </w:r>
      <w:r>
        <w:rPr>
          <w:rFonts w:hint="eastAsia"/>
          <w:lang w:eastAsia="zh-CN"/>
        </w:rPr>
        <w:t>3-</w:t>
      </w:r>
      <w:r>
        <w:rPr>
          <w:rFonts w:hint="eastAsia"/>
          <w:lang w:val="en-US" w:eastAsia="zh-CN"/>
        </w:rPr>
        <w:t>5</w:t>
      </w:r>
      <w:r>
        <w:rPr>
          <w:rFonts w:hint="eastAsia"/>
          <w:lang w:eastAsia="zh-CN"/>
        </w:rPr>
        <w:t xml:space="preserve"> </w:t>
      </w:r>
      <w:r>
        <w:rPr>
          <w:rFonts w:hint="eastAsia"/>
          <w:lang w:val="en-US" w:eastAsia="zh-CN"/>
        </w:rPr>
        <w:t xml:space="preserve"> </w:t>
      </w:r>
      <w:r>
        <w:rPr>
          <w:rFonts w:hint="eastAsia"/>
          <w:lang w:eastAsia="zh-CN"/>
        </w:rPr>
        <w:t>本项目生产设备一览表</w:t>
      </w:r>
    </w:p>
    <w:tbl>
      <w:tblPr>
        <w:tblStyle w:val="23"/>
        <w:tblW w:w="8610"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66"/>
        <w:gridCol w:w="523"/>
        <w:gridCol w:w="1019"/>
        <w:gridCol w:w="424"/>
        <w:gridCol w:w="1640"/>
        <w:gridCol w:w="1389"/>
        <w:gridCol w:w="1091"/>
        <w:gridCol w:w="1159"/>
        <w:gridCol w:w="899"/>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466"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cs="Times New Roman" w:hAnsiTheme="minorEastAsia"/>
                <w:b/>
                <w:bCs/>
                <w:szCs w:val="21"/>
              </w:rPr>
              <w:t>序号</w:t>
            </w:r>
          </w:p>
        </w:tc>
        <w:tc>
          <w:tcPr>
            <w:tcW w:w="1542" w:type="dxa"/>
            <w:gridSpan w:val="2"/>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cs="Times New Roman" w:hAnsiTheme="minorEastAsia"/>
                <w:b/>
                <w:bCs/>
                <w:szCs w:val="21"/>
              </w:rPr>
              <w:t>设备类别</w:t>
            </w: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cs="Times New Roman" w:hAnsiTheme="minorEastAsia"/>
                <w:b/>
                <w:bCs/>
                <w:szCs w:val="21"/>
              </w:rPr>
              <w:t>设备名称</w:t>
            </w:r>
          </w:p>
        </w:tc>
        <w:tc>
          <w:tcPr>
            <w:tcW w:w="1389"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cs="Times New Roman" w:hAnsiTheme="minorEastAsia"/>
                <w:b/>
                <w:bCs/>
                <w:szCs w:val="21"/>
              </w:rPr>
              <w:t>设备规型号</w:t>
            </w:r>
          </w:p>
        </w:tc>
        <w:tc>
          <w:tcPr>
            <w:tcW w:w="1091"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cs="Times New Roman" w:hAnsiTheme="minorEastAsia"/>
                <w:b/>
                <w:bCs/>
                <w:szCs w:val="21"/>
              </w:rPr>
              <w:t>数量（台</w:t>
            </w:r>
            <w:r>
              <w:rPr>
                <w:rFonts w:ascii="Times New Roman" w:hAnsi="Times New Roman" w:cs="Times New Roman"/>
                <w:b/>
                <w:bCs/>
                <w:szCs w:val="21"/>
              </w:rPr>
              <w:t>/</w:t>
            </w:r>
            <w:r>
              <w:rPr>
                <w:rFonts w:ascii="Times New Roman" w:cs="Times New Roman" w:hAnsiTheme="minorEastAsia"/>
                <w:b/>
                <w:bCs/>
                <w:szCs w:val="21"/>
              </w:rPr>
              <w:t>套）</w:t>
            </w:r>
          </w:p>
        </w:tc>
        <w:tc>
          <w:tcPr>
            <w:tcW w:w="1159" w:type="dxa"/>
            <w:tcBorders>
              <w:tl2br w:val="nil"/>
              <w:tr2bl w:val="nil"/>
            </w:tcBorders>
            <w:vAlign w:val="center"/>
          </w:tcPr>
          <w:p>
            <w:pPr>
              <w:widowControl/>
              <w:adjustRightInd w:val="0"/>
              <w:snapToGrid w:val="0"/>
              <w:jc w:val="center"/>
              <w:rPr>
                <w:rFonts w:ascii="Times New Roman" w:cs="Times New Roman" w:hAnsiTheme="minorEastAsia"/>
                <w:b/>
                <w:bCs/>
                <w:szCs w:val="21"/>
              </w:rPr>
            </w:pPr>
            <w:r>
              <w:rPr>
                <w:rFonts w:hint="eastAsia" w:ascii="Times New Roman" w:cs="Times New Roman" w:hAnsiTheme="minorEastAsia"/>
                <w:b/>
                <w:bCs/>
                <w:szCs w:val="21"/>
              </w:rPr>
              <w:t>实际建设</w:t>
            </w:r>
            <w:r>
              <w:rPr>
                <w:rFonts w:ascii="Times New Roman" w:cs="Times New Roman" w:hAnsiTheme="minorEastAsia"/>
                <w:b/>
                <w:bCs/>
                <w:szCs w:val="21"/>
              </w:rPr>
              <w:t>（台</w:t>
            </w:r>
            <w:r>
              <w:rPr>
                <w:rFonts w:ascii="Times New Roman" w:hAnsi="Times New Roman" w:cs="Times New Roman"/>
                <w:b/>
                <w:bCs/>
                <w:szCs w:val="21"/>
              </w:rPr>
              <w:t>/</w:t>
            </w:r>
            <w:r>
              <w:rPr>
                <w:rFonts w:ascii="Times New Roman" w:cs="Times New Roman" w:hAnsiTheme="minorEastAsia"/>
                <w:b/>
                <w:bCs/>
                <w:szCs w:val="21"/>
              </w:rPr>
              <w:t>套）</w:t>
            </w:r>
          </w:p>
        </w:tc>
        <w:tc>
          <w:tcPr>
            <w:tcW w:w="899" w:type="dxa"/>
            <w:tcBorders>
              <w:tl2br w:val="nil"/>
              <w:tr2bl w:val="nil"/>
            </w:tcBorders>
            <w:vAlign w:val="center"/>
          </w:tcPr>
          <w:p>
            <w:pPr>
              <w:widowControl/>
              <w:adjustRightInd w:val="0"/>
              <w:snapToGrid w:val="0"/>
              <w:jc w:val="center"/>
              <w:rPr>
                <w:rFonts w:ascii="Times New Roman" w:cs="Times New Roman" w:hAnsiTheme="minorEastAsia"/>
                <w:b/>
                <w:bCs/>
                <w:szCs w:val="21"/>
              </w:rPr>
            </w:pPr>
            <w:r>
              <w:rPr>
                <w:rFonts w:hint="eastAsia" w:ascii="Times New Roman" w:cs="Times New Roman" w:hAnsiTheme="minorEastAsia"/>
                <w:b/>
                <w:bCs/>
                <w:szCs w:val="21"/>
              </w:rPr>
              <w:t>备注</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523"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生产</w:t>
            </w:r>
          </w:p>
          <w:p>
            <w:pPr>
              <w:widowControl/>
              <w:adjustRightInd w:val="0"/>
              <w:snapToGrid w:val="0"/>
              <w:jc w:val="center"/>
              <w:rPr>
                <w:rFonts w:ascii="Times New Roman" w:hAnsi="Times New Roman" w:cs="Times New Roman"/>
                <w:szCs w:val="21"/>
              </w:rPr>
            </w:pPr>
            <w:r>
              <w:rPr>
                <w:rFonts w:ascii="Times New Roman" w:cs="Times New Roman" w:hAnsiTheme="minorEastAsia"/>
                <w:szCs w:val="21"/>
              </w:rPr>
              <w:t>设备</w:t>
            </w:r>
          </w:p>
        </w:tc>
        <w:tc>
          <w:tcPr>
            <w:tcW w:w="101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前处理生产线设备</w:t>
            </w: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抛丸机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3710</w:t>
            </w:r>
            <w:r>
              <w:rPr>
                <w:rFonts w:ascii="Times New Roman" w:cs="Times New Roman" w:hAnsiTheme="minorEastAsia"/>
                <w:szCs w:val="21"/>
              </w:rPr>
              <w:t>型吊钩式抛丸机</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2</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涂装生产线</w:t>
            </w:r>
          </w:p>
        </w:tc>
        <w:tc>
          <w:tcPr>
            <w:tcW w:w="424"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底漆</w:t>
            </w: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水帘喷漆室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3</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喷枪</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3</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4</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静电喷漆室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5</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静电喷涂设备</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6</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流平室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7</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烘干室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47" w:hRule="atLeast"/>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8</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烤炉</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9</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面漆</w:t>
            </w: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水帘喷漆室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10</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喷枪</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3</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11</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静电喷漆室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12</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静电喷涂设备</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13</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流平室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14</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烘干室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15</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烤炉</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16</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贴花</w:t>
            </w: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贴花室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17</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烘花室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18</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cs="Times New Roman" w:hAnsiTheme="minorEastAsia"/>
                <w:szCs w:val="21"/>
              </w:rPr>
              <w:t>烤炉</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19</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罩光漆</w:t>
            </w: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水帘喷漆室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20</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喷枪</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3</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21</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静电喷漆室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22</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静电喷涂设备</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23</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流平室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24</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烘干室</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25</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424"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4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烤炉</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26</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cs="Times New Roman" w:hAnsiTheme="minorEastAsia"/>
                <w:szCs w:val="21"/>
                <w:lang w:eastAsia="zh-CN"/>
              </w:rPr>
              <w:t>装配</w:t>
            </w:r>
            <w:r>
              <w:rPr>
                <w:rFonts w:ascii="Times New Roman" w:cs="Times New Roman" w:hAnsiTheme="minorEastAsia"/>
                <w:szCs w:val="21"/>
              </w:rPr>
              <w:t>生产线设备</w:t>
            </w:r>
          </w:p>
        </w:tc>
        <w:tc>
          <w:tcPr>
            <w:tcW w:w="2064" w:type="dxa"/>
            <w:gridSpan w:val="2"/>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钢丝锁紧定位机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CH-40-05R</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27</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CH-40-05RD</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3</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28</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头管打孔机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29</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右碗锁紧机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30</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递组机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3</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31</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锁紧机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32</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自动编圈机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33</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自动校正机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34</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校正机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5</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5</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35</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头排机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36</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装胎机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37</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cs="Times New Roman" w:hAnsiTheme="minorEastAsia"/>
                <w:szCs w:val="21"/>
              </w:rPr>
            </w:pPr>
            <w:r>
              <w:rPr>
                <w:rFonts w:hint="eastAsia" w:ascii="Times New Roman" w:cs="Times New Roman" w:hAnsiTheme="minorEastAsia"/>
                <w:szCs w:val="21"/>
              </w:rPr>
              <w:t>头碗机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38</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cs="Times New Roman" w:hAnsiTheme="minorEastAsia"/>
                <w:szCs w:val="21"/>
              </w:rPr>
            </w:pPr>
            <w:r>
              <w:rPr>
                <w:rFonts w:hint="eastAsia" w:ascii="Times New Roman" w:cs="Times New Roman" w:hAnsiTheme="minorEastAsia"/>
                <w:szCs w:val="21"/>
              </w:rPr>
              <w:t>前叉压碗机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39</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cs="Times New Roman" w:hAnsiTheme="minorEastAsia"/>
                <w:szCs w:val="21"/>
              </w:rPr>
            </w:pPr>
            <w:r>
              <w:rPr>
                <w:rFonts w:hint="eastAsia" w:ascii="Times New Roman" w:cs="Times New Roman" w:hAnsiTheme="minorEastAsia"/>
                <w:szCs w:val="21"/>
              </w:rPr>
              <w:t>齿盘压紧机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40</w:t>
            </w:r>
          </w:p>
        </w:tc>
        <w:tc>
          <w:tcPr>
            <w:tcW w:w="523"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01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检测设备</w:t>
            </w: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检测设备</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若干</w:t>
            </w:r>
          </w:p>
        </w:tc>
        <w:tc>
          <w:tcPr>
            <w:tcW w:w="1159" w:type="dxa"/>
            <w:tcBorders>
              <w:tl2br w:val="nil"/>
              <w:tr2bl w:val="nil"/>
            </w:tcBorders>
            <w:vAlign w:val="center"/>
          </w:tcPr>
          <w:p>
            <w:pPr>
              <w:widowControl/>
              <w:adjustRightInd w:val="0"/>
              <w:snapToGrid w:val="0"/>
              <w:jc w:val="center"/>
              <w:rPr>
                <w:rFonts w:ascii="Times New Roman" w:cs="Times New Roman" w:hAnsiTheme="minorEastAsia"/>
                <w:szCs w:val="21"/>
              </w:rPr>
            </w:pPr>
            <w:r>
              <w:rPr>
                <w:rFonts w:hint="eastAsia" w:ascii="Times New Roman" w:cs="Times New Roman" w:hAnsiTheme="minorEastAsia"/>
                <w:szCs w:val="21"/>
              </w:rPr>
              <w:t>若干</w:t>
            </w:r>
          </w:p>
        </w:tc>
        <w:tc>
          <w:tcPr>
            <w:tcW w:w="899" w:type="dxa"/>
            <w:tcBorders>
              <w:tl2br w:val="nil"/>
              <w:tr2bl w:val="nil"/>
            </w:tcBorders>
            <w:vAlign w:val="center"/>
          </w:tcPr>
          <w:p>
            <w:pPr>
              <w:widowControl/>
              <w:adjustRightInd w:val="0"/>
              <w:snapToGrid w:val="0"/>
              <w:jc w:val="center"/>
              <w:rPr>
                <w:rFonts w:ascii="Times New Roman" w:cs="Times New Roman" w:hAnsiTheme="minorEastAsia"/>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41</w:t>
            </w:r>
          </w:p>
        </w:tc>
        <w:tc>
          <w:tcPr>
            <w:tcW w:w="1542" w:type="dxa"/>
            <w:gridSpan w:val="2"/>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公用、贮运设备</w:t>
            </w: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配电柜</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42</w:t>
            </w:r>
          </w:p>
        </w:tc>
        <w:tc>
          <w:tcPr>
            <w:tcW w:w="1542" w:type="dxa"/>
            <w:gridSpan w:val="2"/>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空压机</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18.5KW/2Nm</w:t>
            </w:r>
            <w:r>
              <w:rPr>
                <w:rFonts w:ascii="Times New Roman" w:hAnsi="Times New Roman" w:cs="Times New Roman"/>
                <w:szCs w:val="21"/>
                <w:vertAlign w:val="superscript"/>
              </w:rPr>
              <w:t>3</w:t>
            </w:r>
            <w:r>
              <w:rPr>
                <w:rFonts w:ascii="Times New Roman" w:hAnsi="Times New Roman" w:cs="Times New Roman"/>
                <w:szCs w:val="21"/>
              </w:rPr>
              <w:t>/min</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7</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6"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43</w:t>
            </w:r>
          </w:p>
        </w:tc>
        <w:tc>
          <w:tcPr>
            <w:tcW w:w="1542" w:type="dxa"/>
            <w:gridSpan w:val="2"/>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2064" w:type="dxa"/>
            <w:gridSpan w:val="2"/>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cs="Times New Roman" w:hAnsiTheme="minorEastAsia"/>
                <w:szCs w:val="21"/>
              </w:rPr>
              <w:t>叉车</w:t>
            </w:r>
          </w:p>
        </w:tc>
        <w:tc>
          <w:tcPr>
            <w:tcW w:w="138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9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6</w:t>
            </w:r>
          </w:p>
        </w:tc>
        <w:tc>
          <w:tcPr>
            <w:tcW w:w="115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6</w:t>
            </w:r>
          </w:p>
        </w:tc>
        <w:tc>
          <w:tcPr>
            <w:tcW w:w="899"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不变</w:t>
            </w:r>
          </w:p>
        </w:tc>
      </w:tr>
    </w:tbl>
    <w:p>
      <w:pPr>
        <w:pStyle w:val="22"/>
        <w:tabs>
          <w:tab w:val="left" w:pos="420"/>
          <w:tab w:val="left" w:pos="870"/>
          <w:tab w:val="left" w:pos="3150"/>
        </w:tabs>
        <w:spacing w:line="360" w:lineRule="auto"/>
        <w:ind w:left="0" w:leftChars="0" w:firstLine="0" w:firstLineChars="0"/>
        <w:outlineLvl w:val="1"/>
        <w:rPr>
          <w:rFonts w:ascii="Times New Roman"/>
          <w:b/>
        </w:rPr>
        <w:sectPr>
          <w:pgSz w:w="11906" w:h="16838"/>
          <w:pgMar w:top="1361" w:right="1800" w:bottom="1134" w:left="1800" w:header="851" w:footer="992" w:gutter="0"/>
          <w:cols w:space="425" w:num="1"/>
          <w:docGrid w:type="lines" w:linePitch="312" w:charSpace="0"/>
        </w:sectPr>
      </w:pPr>
    </w:p>
    <w:p>
      <w:pPr>
        <w:pStyle w:val="22"/>
        <w:tabs>
          <w:tab w:val="left" w:pos="420"/>
          <w:tab w:val="left" w:pos="870"/>
          <w:tab w:val="left" w:pos="3150"/>
        </w:tabs>
        <w:spacing w:line="360" w:lineRule="auto"/>
        <w:ind w:left="0" w:leftChars="0" w:firstLine="0" w:firstLineChars="0"/>
        <w:outlineLvl w:val="1"/>
        <w:rPr>
          <w:rFonts w:ascii="Times New Roman"/>
          <w:b/>
        </w:rPr>
      </w:pPr>
      <w:bookmarkStart w:id="71" w:name="_Toc10631"/>
      <w:r>
        <w:rPr>
          <w:rFonts w:hint="eastAsia" w:ascii="Times New Roman"/>
          <w:b/>
        </w:rPr>
        <w:t>3.3主要原辅材料</w:t>
      </w:r>
      <w:bookmarkEnd w:id="71"/>
    </w:p>
    <w:p>
      <w:pPr>
        <w:adjustRightIn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本项目主要原料、辅料名称以及设计消耗量、</w:t>
      </w:r>
      <w:r>
        <w:rPr>
          <w:rFonts w:hint="eastAsia" w:cs="Times New Roman"/>
          <w:sz w:val="24"/>
        </w:rPr>
        <w:t>实际</w:t>
      </w:r>
      <w:r>
        <w:rPr>
          <w:rFonts w:ascii="Times New Roman" w:hAnsi="Times New Roman" w:cs="Times New Roman"/>
          <w:sz w:val="24"/>
        </w:rPr>
        <w:t>消耗量表3-</w:t>
      </w:r>
      <w:r>
        <w:rPr>
          <w:rFonts w:hint="eastAsia" w:ascii="Times New Roman" w:hAnsi="Times New Roman" w:cs="Times New Roman"/>
          <w:sz w:val="24"/>
          <w:lang w:val="en-US" w:eastAsia="zh-CN"/>
        </w:rPr>
        <w:t>6</w:t>
      </w:r>
      <w:r>
        <w:rPr>
          <w:rFonts w:ascii="Times New Roman" w:hAnsi="Times New Roman" w:cs="Times New Roman"/>
          <w:sz w:val="24"/>
        </w:rPr>
        <w:t>。</w:t>
      </w:r>
    </w:p>
    <w:p>
      <w:pPr>
        <w:pStyle w:val="7"/>
        <w:rPr>
          <w:rFonts w:hint="eastAsia" w:eastAsia="宋体"/>
          <w:lang w:eastAsia="zh-CN"/>
        </w:rPr>
      </w:pPr>
      <w:r>
        <w:t>表</w:t>
      </w:r>
      <w:r>
        <w:rPr>
          <w:rFonts w:hint="eastAsia"/>
          <w:lang w:eastAsia="zh-CN"/>
        </w:rPr>
        <w:t>3-</w:t>
      </w:r>
      <w:r>
        <w:rPr>
          <w:rFonts w:hint="eastAsia"/>
          <w:lang w:val="en-US" w:eastAsia="zh-CN"/>
        </w:rPr>
        <w:t>6</w:t>
      </w:r>
      <w:r>
        <w:rPr>
          <w:rFonts w:hint="eastAsia"/>
          <w:lang w:eastAsia="zh-CN"/>
        </w:rPr>
        <w:t xml:space="preserve">  主要原辅材料用量一览表</w:t>
      </w:r>
    </w:p>
    <w:tbl>
      <w:tblPr>
        <w:tblStyle w:val="23"/>
        <w:tblW w:w="8533" w:type="dxa"/>
        <w:jc w:val="center"/>
        <w:tblInd w:w="-1189"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32"/>
        <w:gridCol w:w="1267"/>
        <w:gridCol w:w="1632"/>
        <w:gridCol w:w="1796"/>
        <w:gridCol w:w="1461"/>
        <w:gridCol w:w="1445"/>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序号</w:t>
            </w:r>
          </w:p>
        </w:tc>
        <w:tc>
          <w:tcPr>
            <w:tcW w:w="1267"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类别</w:t>
            </w: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名称</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环评设计</w:t>
            </w:r>
            <w:r>
              <w:rPr>
                <w:rFonts w:ascii="Times New Roman" w:hAnsi="Times New Roman" w:cs="Times New Roman"/>
                <w:szCs w:val="21"/>
              </w:rPr>
              <w:t>年耗量（吨/年）</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实际年耗量</w:t>
            </w:r>
            <w:r>
              <w:rPr>
                <w:rFonts w:ascii="Times New Roman" w:hAnsi="Times New Roman" w:cs="Times New Roman"/>
                <w:szCs w:val="21"/>
              </w:rPr>
              <w:t>（吨/年）</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备</w:t>
            </w:r>
            <w:r>
              <w:rPr>
                <w:rFonts w:hint="eastAsia" w:ascii="Times New Roman" w:hAnsi="Times New Roman" w:cs="Times New Roman"/>
                <w:szCs w:val="21"/>
                <w:lang w:val="en-US" w:eastAsia="zh-CN"/>
              </w:rPr>
              <w:t xml:space="preserve">  </w:t>
            </w:r>
            <w:r>
              <w:rPr>
                <w:rFonts w:hint="eastAsia" w:ascii="Times New Roman" w:hAnsi="Times New Roman" w:cs="Times New Roman"/>
                <w:szCs w:val="21"/>
                <w:lang w:eastAsia="zh-CN"/>
              </w:rPr>
              <w:t>注</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267"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原辅材料</w:t>
            </w: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铝制车架</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3万件</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r>
              <w:rPr>
                <w:rFonts w:hint="eastAsia" w:ascii="Times New Roman" w:hAnsi="Times New Roman" w:cs="Times New Roman"/>
                <w:szCs w:val="21"/>
                <w:lang w:val="en-US" w:eastAsia="zh-CN"/>
              </w:rPr>
              <w:t>.2</w:t>
            </w:r>
            <w:r>
              <w:rPr>
                <w:rFonts w:ascii="Times New Roman" w:hAnsi="Times New Roman" w:cs="Times New Roman"/>
                <w:szCs w:val="21"/>
              </w:rPr>
              <w:t>万件</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铁质车架</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37万件</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lang w:val="en-US" w:eastAsia="zh-CN"/>
              </w:rPr>
              <w:t>36.6</w:t>
            </w:r>
            <w:r>
              <w:rPr>
                <w:rFonts w:ascii="Times New Roman" w:hAnsi="Times New Roman" w:cs="Times New Roman"/>
                <w:szCs w:val="21"/>
              </w:rPr>
              <w:t>万件</w:t>
            </w:r>
          </w:p>
        </w:tc>
        <w:tc>
          <w:tcPr>
            <w:tcW w:w="1445" w:type="dxa"/>
            <w:tcBorders>
              <w:tl2br w:val="nil"/>
              <w:tr2bl w:val="nil"/>
            </w:tcBorders>
            <w:vAlign w:val="center"/>
          </w:tcPr>
          <w:p>
            <w:pPr>
              <w:widowControl/>
              <w:adjustRightInd w:val="0"/>
              <w:snapToGrid w:val="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自行车零部件</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40万套</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lang w:val="en-US" w:eastAsia="zh-CN"/>
              </w:rPr>
              <w:t>39.8</w:t>
            </w:r>
            <w:r>
              <w:rPr>
                <w:rFonts w:ascii="Times New Roman" w:hAnsi="Times New Roman" w:cs="Times New Roman"/>
                <w:szCs w:val="21"/>
              </w:rPr>
              <w:t>万套</w:t>
            </w:r>
          </w:p>
        </w:tc>
        <w:tc>
          <w:tcPr>
            <w:tcW w:w="1445" w:type="dxa"/>
            <w:tcBorders>
              <w:tl2br w:val="nil"/>
              <w:tr2bl w:val="nil"/>
            </w:tcBorders>
            <w:vAlign w:val="center"/>
          </w:tcPr>
          <w:p>
            <w:pPr>
              <w:widowControl/>
              <w:adjustRightInd w:val="0"/>
              <w:snapToGrid w:val="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4</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浓硫酸</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445" w:type="dxa"/>
            <w:vMerge w:val="restart"/>
            <w:tcBorders>
              <w:tl2br w:val="nil"/>
              <w:tr2bl w:val="nil"/>
            </w:tcBorders>
            <w:vAlign w:val="center"/>
          </w:tcPr>
          <w:p>
            <w:pPr>
              <w:widowControl/>
              <w:adjustRightInd w:val="0"/>
              <w:snapToGrid w:val="0"/>
              <w:jc w:val="center"/>
              <w:rPr>
                <w:rFonts w:hint="eastAsia" w:ascii="Times New Roman" w:hAnsi="Times New Roman" w:cs="Times New Roman"/>
                <w:szCs w:val="21"/>
              </w:rPr>
            </w:pPr>
            <w:r>
              <w:rPr>
                <w:rFonts w:hint="eastAsia" w:ascii="Times New Roman" w:hAnsi="Times New Roman" w:cs="Times New Roman"/>
                <w:szCs w:val="21"/>
              </w:rPr>
              <w:t>湿法表面</w:t>
            </w:r>
          </w:p>
          <w:p>
            <w:pPr>
              <w:widowControl/>
              <w:adjustRightInd w:val="0"/>
              <w:snapToGrid w:val="0"/>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rPr>
              <w:t>处理</w:t>
            </w:r>
            <w:r>
              <w:rPr>
                <w:rFonts w:hint="eastAsia" w:ascii="Times New Roman" w:hAnsi="Times New Roman" w:cs="Times New Roman"/>
                <w:szCs w:val="21"/>
                <w:lang w:eastAsia="zh-CN"/>
              </w:rPr>
              <w:t>用</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5</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氢氧化钠</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445" w:type="dxa"/>
            <w:vMerge w:val="continue"/>
            <w:tcBorders>
              <w:tl2br w:val="nil"/>
              <w:tr2bl w:val="nil"/>
            </w:tcBorders>
            <w:vAlign w:val="center"/>
          </w:tcPr>
          <w:p>
            <w:pPr>
              <w:widowControl/>
              <w:adjustRightInd w:val="0"/>
              <w:snapToGrid w:val="0"/>
              <w:jc w:val="center"/>
              <w:rPr>
                <w:rFonts w:hint="eastAsia"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6</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硅烷剂</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0.5</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1445" w:type="dxa"/>
            <w:vMerge w:val="continue"/>
            <w:tcBorders>
              <w:tl2br w:val="nil"/>
              <w:tr2bl w:val="nil"/>
            </w:tcBorders>
            <w:vAlign w:val="center"/>
          </w:tcPr>
          <w:p>
            <w:pPr>
              <w:widowControl/>
              <w:adjustRightInd w:val="0"/>
              <w:snapToGrid w:val="0"/>
              <w:jc w:val="center"/>
              <w:rPr>
                <w:rFonts w:hint="eastAsia"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7</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kern w:val="0"/>
                <w:szCs w:val="21"/>
              </w:rPr>
              <w:t>丙烯酸烤漆</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16.5</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4</w:t>
            </w:r>
            <w:r>
              <w:rPr>
                <w:rFonts w:ascii="Times New Roman" w:hAnsi="Times New Roman" w:cs="Times New Roman"/>
                <w:szCs w:val="21"/>
              </w:rPr>
              <w:t>.5</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shd w:val="clear" w:color="auto" w:fill="auto"/>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8</w:t>
            </w:r>
          </w:p>
        </w:tc>
        <w:tc>
          <w:tcPr>
            <w:tcW w:w="1267" w:type="dxa"/>
            <w:vMerge w:val="continue"/>
            <w:tcBorders>
              <w:tl2br w:val="nil"/>
              <w:tr2bl w:val="nil"/>
            </w:tcBorders>
            <w:shd w:val="clear" w:color="auto" w:fill="auto"/>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shd w:val="clear" w:color="auto" w:fill="auto"/>
            <w:vAlign w:val="center"/>
          </w:tcPr>
          <w:p>
            <w:pPr>
              <w:widowControl/>
              <w:adjustRightInd w:val="0"/>
              <w:snapToGrid w:val="0"/>
              <w:jc w:val="center"/>
              <w:rPr>
                <w:rFonts w:ascii="Times New Roman" w:hAnsi="Times New Roman" w:cs="Times New Roman"/>
                <w:kern w:val="0"/>
                <w:szCs w:val="21"/>
              </w:rPr>
            </w:pPr>
            <w:r>
              <w:rPr>
                <w:rFonts w:ascii="Times New Roman" w:hAnsi="Times New Roman" w:cs="Times New Roman"/>
                <w:kern w:val="0"/>
                <w:szCs w:val="21"/>
              </w:rPr>
              <w:t>稀释剂</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11</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9.8</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28" w:hRule="atLeast"/>
          <w:jc w:val="center"/>
        </w:trPr>
        <w:tc>
          <w:tcPr>
            <w:tcW w:w="932" w:type="dxa"/>
            <w:tcBorders>
              <w:tl2br w:val="nil"/>
              <w:tr2bl w:val="nil"/>
            </w:tcBorders>
            <w:shd w:val="clear" w:color="auto" w:fill="auto"/>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9</w:t>
            </w:r>
          </w:p>
        </w:tc>
        <w:tc>
          <w:tcPr>
            <w:tcW w:w="1267" w:type="dxa"/>
            <w:vMerge w:val="continue"/>
            <w:tcBorders>
              <w:tl2br w:val="nil"/>
              <w:tr2bl w:val="nil"/>
            </w:tcBorders>
            <w:shd w:val="clear" w:color="auto" w:fill="auto"/>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shd w:val="clear" w:color="auto" w:fill="auto"/>
            <w:vAlign w:val="center"/>
          </w:tcPr>
          <w:p>
            <w:pPr>
              <w:widowControl/>
              <w:adjustRightInd w:val="0"/>
              <w:snapToGrid w:val="0"/>
              <w:jc w:val="center"/>
              <w:rPr>
                <w:rFonts w:ascii="Times New Roman" w:hAnsi="Times New Roman" w:cs="Times New Roman"/>
                <w:kern w:val="0"/>
                <w:szCs w:val="21"/>
              </w:rPr>
            </w:pPr>
            <w:r>
              <w:rPr>
                <w:rFonts w:hint="eastAsia" w:ascii="Times New Roman" w:hAnsi="Times New Roman" w:cs="Times New Roman"/>
                <w:color w:val="auto"/>
                <w:kern w:val="0"/>
                <w:szCs w:val="21"/>
                <w:lang w:eastAsia="zh-CN"/>
              </w:rPr>
              <w:t>丙二醇</w:t>
            </w:r>
            <w:r>
              <w:rPr>
                <w:rFonts w:ascii="Times New Roman" w:hAnsi="Times New Roman" w:cs="Times New Roman"/>
                <w:color w:val="auto"/>
                <w:kern w:val="0"/>
                <w:szCs w:val="21"/>
              </w:rPr>
              <w:t>丁</w:t>
            </w:r>
            <w:r>
              <w:rPr>
                <w:rFonts w:ascii="Times New Roman" w:hAnsi="Times New Roman" w:cs="Times New Roman"/>
                <w:kern w:val="0"/>
                <w:szCs w:val="21"/>
              </w:rPr>
              <w:t>醚</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0.3</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0.2</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shd w:val="clear" w:color="auto" w:fill="auto"/>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1267" w:type="dxa"/>
            <w:vMerge w:val="continue"/>
            <w:tcBorders>
              <w:tl2br w:val="nil"/>
              <w:tr2bl w:val="nil"/>
            </w:tcBorders>
            <w:shd w:val="clear" w:color="auto" w:fill="auto"/>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shd w:val="clear" w:color="auto" w:fill="auto"/>
            <w:vAlign w:val="center"/>
          </w:tcPr>
          <w:p>
            <w:pPr>
              <w:widowControl/>
              <w:adjustRightInd w:val="0"/>
              <w:snapToGrid w:val="0"/>
              <w:jc w:val="center"/>
              <w:rPr>
                <w:rFonts w:ascii="Times New Roman" w:hAnsi="Times New Roman" w:cs="Times New Roman"/>
                <w:kern w:val="0"/>
                <w:szCs w:val="21"/>
              </w:rPr>
            </w:pPr>
            <w:r>
              <w:rPr>
                <w:rFonts w:ascii="Times New Roman" w:hAnsi="Times New Roman" w:cs="Times New Roman"/>
                <w:kern w:val="0"/>
                <w:szCs w:val="21"/>
              </w:rPr>
              <w:t>丸料</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15</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14.5</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11</w:t>
            </w:r>
          </w:p>
        </w:tc>
        <w:tc>
          <w:tcPr>
            <w:tcW w:w="1267" w:type="dxa"/>
            <w:vMerge w:val="restart"/>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能源</w:t>
            </w: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新鲜水</w:t>
            </w:r>
          </w:p>
        </w:tc>
        <w:tc>
          <w:tcPr>
            <w:tcW w:w="1796" w:type="dxa"/>
            <w:tcBorders>
              <w:tl2br w:val="nil"/>
              <w:tr2bl w:val="nil"/>
            </w:tcBorders>
            <w:vAlign w:val="center"/>
          </w:tcPr>
          <w:p>
            <w:pPr>
              <w:widowControl/>
              <w:adjustRightInd w:val="0"/>
              <w:snapToGrid w:val="0"/>
              <w:jc w:val="center"/>
              <w:rPr>
                <w:rFonts w:ascii="Times New Roman" w:hAnsi="Times New Roman" w:cs="Times New Roman"/>
                <w:color w:val="auto"/>
                <w:szCs w:val="21"/>
              </w:rPr>
            </w:pPr>
            <w:r>
              <w:rPr>
                <w:rFonts w:hint="eastAsia" w:ascii="Times New Roman" w:hAnsi="Times New Roman" w:cs="Times New Roman"/>
                <w:color w:val="auto"/>
                <w:szCs w:val="21"/>
              </w:rPr>
              <w:t>6980</w:t>
            </w:r>
          </w:p>
        </w:tc>
        <w:tc>
          <w:tcPr>
            <w:tcW w:w="1461" w:type="dxa"/>
            <w:tcBorders>
              <w:tl2br w:val="nil"/>
              <w:tr2bl w:val="nil"/>
            </w:tcBorders>
            <w:vAlign w:val="center"/>
          </w:tcPr>
          <w:p>
            <w:pPr>
              <w:widowControl/>
              <w:adjustRightInd w:val="0"/>
              <w:snapToGrid w:val="0"/>
              <w:jc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6980</w:t>
            </w:r>
          </w:p>
        </w:tc>
        <w:tc>
          <w:tcPr>
            <w:tcW w:w="1445" w:type="dxa"/>
            <w:tcBorders>
              <w:tl2br w:val="nil"/>
              <w:tr2bl w:val="nil"/>
            </w:tcBorders>
            <w:vAlign w:val="center"/>
          </w:tcPr>
          <w:p>
            <w:pPr>
              <w:widowControl/>
              <w:adjustRightInd w:val="0"/>
              <w:snapToGrid w:val="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13</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电</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100万度</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10</w:t>
            </w:r>
            <w:r>
              <w:rPr>
                <w:rFonts w:ascii="Times New Roman" w:hAnsi="Times New Roman" w:cs="Times New Roman"/>
                <w:szCs w:val="21"/>
              </w:rPr>
              <w:t>万度</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14</w:t>
            </w:r>
          </w:p>
        </w:tc>
        <w:tc>
          <w:tcPr>
            <w:tcW w:w="1267" w:type="dxa"/>
            <w:vMerge w:val="continue"/>
            <w:tcBorders>
              <w:tl2br w:val="nil"/>
              <w:tr2bl w:val="nil"/>
            </w:tcBorders>
            <w:vAlign w:val="center"/>
          </w:tcPr>
          <w:p>
            <w:pPr>
              <w:widowControl/>
              <w:adjustRightInd w:val="0"/>
              <w:snapToGrid w:val="0"/>
              <w:jc w:val="center"/>
              <w:rPr>
                <w:rFonts w:ascii="Times New Roman" w:hAnsi="Times New Roman" w:cs="Times New Roman"/>
                <w:szCs w:val="21"/>
              </w:rPr>
            </w:pPr>
          </w:p>
        </w:tc>
        <w:tc>
          <w:tcPr>
            <w:tcW w:w="1632"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天然气</w:t>
            </w:r>
          </w:p>
        </w:tc>
        <w:tc>
          <w:tcPr>
            <w:tcW w:w="1796"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8</w:t>
            </w:r>
            <w:r>
              <w:rPr>
                <w:rFonts w:ascii="Times New Roman" w:hAnsi="Times New Roman" w:cs="Times New Roman"/>
                <w:szCs w:val="21"/>
              </w:rPr>
              <w:t>万m</w:t>
            </w:r>
            <w:r>
              <w:rPr>
                <w:rFonts w:ascii="Times New Roman" w:hAnsi="Times New Roman" w:cs="Times New Roman"/>
                <w:szCs w:val="21"/>
                <w:vertAlign w:val="superscript"/>
              </w:rPr>
              <w:t>3</w:t>
            </w:r>
          </w:p>
        </w:tc>
        <w:tc>
          <w:tcPr>
            <w:tcW w:w="146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5</w:t>
            </w:r>
            <w:r>
              <w:rPr>
                <w:rFonts w:ascii="Times New Roman" w:hAnsi="Times New Roman" w:cs="Times New Roman"/>
                <w:szCs w:val="21"/>
              </w:rPr>
              <w:t>万m</w:t>
            </w:r>
            <w:r>
              <w:rPr>
                <w:rFonts w:ascii="Times New Roman" w:hAnsi="Times New Roman" w:cs="Times New Roman"/>
                <w:szCs w:val="21"/>
                <w:vertAlign w:val="superscript"/>
              </w:rPr>
              <w:t>3</w:t>
            </w:r>
          </w:p>
        </w:tc>
        <w:tc>
          <w:tcPr>
            <w:tcW w:w="1445" w:type="dxa"/>
            <w:tcBorders>
              <w:tl2br w:val="nil"/>
              <w:tr2bl w:val="nil"/>
            </w:tcBorders>
            <w:vAlign w:val="center"/>
          </w:tcPr>
          <w:p>
            <w:pPr>
              <w:widowControl/>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r>
    </w:tbl>
    <w:p>
      <w:pPr>
        <w:keepNext/>
        <w:ind w:firstLine="360" w:firstLineChars="200"/>
        <w:rPr>
          <w:rFonts w:cs="Times New Roman"/>
          <w:sz w:val="18"/>
          <w:szCs w:val="18"/>
        </w:rPr>
      </w:pPr>
      <w:r>
        <w:rPr>
          <w:rFonts w:hint="eastAsia" w:ascii="Times New Roman" w:eastAsia="宋体" w:cs="Times New Roman"/>
          <w:sz w:val="18"/>
          <w:szCs w:val="18"/>
        </w:rPr>
        <w:t>注：</w:t>
      </w:r>
      <w:r>
        <w:rPr>
          <w:rFonts w:hint="eastAsia" w:cs="Times New Roman"/>
          <w:sz w:val="18"/>
          <w:szCs w:val="18"/>
        </w:rPr>
        <w:t>建设单位统计。</w:t>
      </w:r>
    </w:p>
    <w:p>
      <w:pPr>
        <w:pStyle w:val="2"/>
      </w:pPr>
    </w:p>
    <w:p>
      <w:pPr>
        <w:pStyle w:val="2"/>
      </w:pPr>
    </w:p>
    <w:p>
      <w:pPr>
        <w:sectPr>
          <w:pgSz w:w="11906" w:h="16838"/>
          <w:pgMar w:top="1440" w:right="1800" w:bottom="1440" w:left="1800" w:header="851" w:footer="992" w:gutter="0"/>
          <w:cols w:space="425" w:num="1"/>
          <w:docGrid w:type="lines" w:linePitch="312" w:charSpace="0"/>
        </w:sectPr>
      </w:pPr>
    </w:p>
    <w:p>
      <w:pPr>
        <w:pStyle w:val="22"/>
        <w:tabs>
          <w:tab w:val="left" w:pos="420"/>
          <w:tab w:val="left" w:pos="870"/>
          <w:tab w:val="left" w:pos="3150"/>
        </w:tabs>
        <w:spacing w:line="360" w:lineRule="auto"/>
        <w:ind w:left="0" w:leftChars="0" w:firstLine="0" w:firstLineChars="0"/>
        <w:outlineLvl w:val="1"/>
        <w:rPr>
          <w:rFonts w:ascii="Times New Roman" w:hAnsi="Times New Roman" w:eastAsia="宋体" w:cs="Times New Roman"/>
          <w:b/>
          <w:bCs/>
        </w:rPr>
      </w:pPr>
      <w:bookmarkStart w:id="72" w:name="_Toc27531"/>
      <w:bookmarkStart w:id="73" w:name="_Toc29024"/>
      <w:r>
        <w:rPr>
          <w:rFonts w:ascii="Times New Roman" w:hAnsi="Times New Roman" w:eastAsia="宋体" w:cs="Times New Roman"/>
          <w:b/>
          <w:bCs/>
        </w:rPr>
        <w:t>3.4</w:t>
      </w:r>
      <w:r>
        <w:rPr>
          <w:rFonts w:hint="eastAsia" w:ascii="Times New Roman" w:hAnsi="Times New Roman" w:eastAsia="宋体" w:cs="Times New Roman"/>
          <w:b/>
          <w:bCs/>
        </w:rPr>
        <w:t>项目</w:t>
      </w:r>
      <w:r>
        <w:rPr>
          <w:rFonts w:ascii="Times New Roman" w:hAnsi="Times New Roman" w:eastAsia="宋体" w:cs="Times New Roman"/>
          <w:b/>
          <w:bCs/>
        </w:rPr>
        <w:t>水平衡</w:t>
      </w:r>
      <w:bookmarkEnd w:id="72"/>
      <w:r>
        <w:rPr>
          <w:rFonts w:hint="eastAsia" w:ascii="Times New Roman" w:hAnsi="Times New Roman" w:eastAsia="宋体" w:cs="Times New Roman"/>
          <w:b/>
          <w:bCs/>
        </w:rPr>
        <w:t>图</w:t>
      </w:r>
      <w:bookmarkEnd w:id="73"/>
    </w:p>
    <w:p>
      <w:pPr>
        <w:pStyle w:val="22"/>
        <w:tabs>
          <w:tab w:val="left" w:pos="420"/>
          <w:tab w:val="left" w:pos="870"/>
          <w:tab w:val="left" w:pos="3150"/>
        </w:tabs>
        <w:spacing w:line="360" w:lineRule="auto"/>
        <w:ind w:left="0" w:leftChars="0" w:firstLine="0" w:firstLineChars="0"/>
        <w:jc w:val="center"/>
        <w:rPr>
          <w:rFonts w:ascii="Times New Roman" w:hAnsi="Times New Roman"/>
        </w:rPr>
      </w:pPr>
      <w:r>
        <w:rPr>
          <w:rFonts w:ascii="Times New Roman" w:hAnsi="Times New Roman"/>
        </w:rPr>
        <w:drawing>
          <wp:inline distT="0" distB="0" distL="0" distR="0">
            <wp:extent cx="4882515" cy="3390265"/>
            <wp:effectExtent l="19050" t="0" r="0" b="0"/>
            <wp:docPr id="12" name="图片 12" descr="C:\DOCUME~1\ADMINI~1\LOCALS~1\Temp\15579724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DOCUME~1\ADMINI~1\LOCALS~1\Temp\1557972471(1).png"/>
                    <pic:cNvPicPr>
                      <a:picLocks noChangeAspect="1" noChangeArrowheads="1"/>
                    </pic:cNvPicPr>
                  </pic:nvPicPr>
                  <pic:blipFill>
                    <a:blip r:embed="rId15"/>
                    <a:srcRect/>
                    <a:stretch>
                      <a:fillRect/>
                    </a:stretch>
                  </pic:blipFill>
                  <pic:spPr>
                    <a:xfrm>
                      <a:off x="0" y="0"/>
                      <a:ext cx="4882515" cy="3390265"/>
                    </a:xfrm>
                    <a:prstGeom prst="rect">
                      <a:avLst/>
                    </a:prstGeom>
                    <a:noFill/>
                    <a:ln w="9525">
                      <a:noFill/>
                      <a:miter lim="800000"/>
                      <a:headEnd/>
                      <a:tailEnd/>
                    </a:ln>
                  </pic:spPr>
                </pic:pic>
              </a:graphicData>
            </a:graphic>
          </wp:inline>
        </w:drawing>
      </w:r>
    </w:p>
    <w:p>
      <w:pPr>
        <w:pStyle w:val="7"/>
        <w:bidi w:val="0"/>
        <w:sectPr>
          <w:pgSz w:w="11906" w:h="16838"/>
          <w:pgMar w:top="1440" w:right="1800" w:bottom="1440" w:left="1800" w:header="851" w:footer="992" w:gutter="0"/>
          <w:cols w:space="425" w:num="1"/>
          <w:docGrid w:type="lines" w:linePitch="312" w:charSpace="0"/>
        </w:sectPr>
      </w:pPr>
      <w:r>
        <w:t>图</w:t>
      </w:r>
      <w:r>
        <w:rPr>
          <w:rFonts w:hint="eastAsia"/>
          <w:lang w:eastAsia="zh-CN"/>
        </w:rPr>
        <w:t>3-</w:t>
      </w:r>
      <w:r>
        <w:rPr>
          <w:rFonts w:hint="eastAsia"/>
          <w:lang w:val="en-US" w:eastAsia="zh-CN"/>
        </w:rPr>
        <w:t>5</w:t>
      </w:r>
      <w:r>
        <w:rPr>
          <w:rFonts w:hint="eastAsia"/>
          <w:lang w:eastAsia="zh-CN"/>
        </w:rPr>
        <w:t xml:space="preserve"> </w:t>
      </w:r>
      <w:r>
        <w:rPr>
          <w:rFonts w:hint="eastAsia"/>
          <w:lang w:val="en-US" w:eastAsia="zh-CN"/>
        </w:rPr>
        <w:t xml:space="preserve"> </w:t>
      </w:r>
      <w:r>
        <w:rPr>
          <w:rFonts w:hint="eastAsia"/>
          <w:lang w:eastAsia="zh-CN"/>
        </w:rPr>
        <w:t>项目水平衡图</w:t>
      </w:r>
    </w:p>
    <w:p>
      <w:pPr>
        <w:pStyle w:val="22"/>
        <w:tabs>
          <w:tab w:val="left" w:pos="420"/>
          <w:tab w:val="left" w:pos="870"/>
          <w:tab w:val="left" w:pos="3150"/>
        </w:tabs>
        <w:spacing w:line="360" w:lineRule="auto"/>
        <w:ind w:left="0" w:leftChars="0" w:firstLine="0" w:firstLineChars="0"/>
        <w:outlineLvl w:val="1"/>
        <w:rPr>
          <w:rFonts w:ascii="Times New Roman" w:hAnsi="Times New Roman" w:eastAsia="宋体" w:cs="Times New Roman"/>
          <w:b/>
          <w:bCs/>
        </w:rPr>
      </w:pPr>
      <w:bookmarkStart w:id="74" w:name="_Toc32699"/>
      <w:r>
        <w:rPr>
          <w:rFonts w:ascii="Times New Roman" w:hAnsi="Times New Roman" w:eastAsia="宋体" w:cs="Times New Roman"/>
          <w:b/>
          <w:bCs/>
        </w:rPr>
        <w:t>3.5生产工艺</w:t>
      </w:r>
      <w:bookmarkEnd w:id="74"/>
    </w:p>
    <w:p>
      <w:pPr>
        <w:pStyle w:val="2"/>
        <w:rPr>
          <w:rFonts w:cs="Times New Roman" w:eastAsiaTheme="minorEastAsia"/>
          <w:bCs/>
          <w:sz w:val="24"/>
        </w:rPr>
      </w:pPr>
      <w:bookmarkStart w:id="75" w:name="_Toc21098"/>
      <w:r>
        <w:rPr>
          <w:rFonts w:cs="Times New Roman" w:eastAsiaTheme="minorEastAsia"/>
          <w:bCs/>
          <w:sz w:val="24"/>
        </w:rPr>
        <w:t>3.5.1生产工艺流程和产污环节分析</w:t>
      </w:r>
      <w:bookmarkEnd w:id="75"/>
    </w:p>
    <w:p>
      <w:pPr>
        <w:adjustRightInd w:val="0"/>
        <w:snapToGrid w:val="0"/>
        <w:spacing w:line="500" w:lineRule="exact"/>
        <w:ind w:firstLine="480" w:firstLineChars="200"/>
        <w:rPr>
          <w:rFonts w:ascii="Times New Roman" w:hAnsi="Times New Roman" w:cs="Times New Roman"/>
          <w:sz w:val="28"/>
          <w:szCs w:val="28"/>
        </w:rPr>
      </w:pPr>
      <w:r>
        <w:rPr>
          <w:rFonts w:ascii="Times New Roman" w:hAnsi="Times New Roman" w:cs="Times New Roman"/>
          <w:sz w:val="24"/>
        </w:rPr>
        <w:t>根据工艺特点和生产流程，本项目生产过程主要分为前处理、涂装和</w:t>
      </w:r>
      <w:r>
        <w:rPr>
          <w:rFonts w:hint="eastAsia" w:ascii="Times New Roman" w:hAnsi="Times New Roman" w:cs="Times New Roman"/>
          <w:sz w:val="24"/>
          <w:lang w:eastAsia="zh-CN"/>
        </w:rPr>
        <w:t>装配</w:t>
      </w:r>
      <w:r>
        <w:rPr>
          <w:rFonts w:ascii="Times New Roman" w:hAnsi="Times New Roman" w:cs="Times New Roman"/>
          <w:sz w:val="24"/>
        </w:rPr>
        <w:t>三部分。</w:t>
      </w:r>
    </w:p>
    <w:p>
      <w:pPr>
        <w:keepNext/>
        <w:keepLines/>
        <w:spacing w:before="100" w:after="100" w:line="500" w:lineRule="exact"/>
        <w:outlineLvl w:val="3"/>
        <w:rPr>
          <w:rFonts w:ascii="Times New Roman" w:hAnsi="Times New Roman" w:cs="Times New Roman"/>
          <w:b/>
          <w:bCs/>
          <w:sz w:val="24"/>
        </w:rPr>
      </w:pPr>
      <w:r>
        <w:rPr>
          <w:rFonts w:ascii="Times New Roman" w:hAnsi="Times New Roman" w:cs="Times New Roman"/>
          <w:b/>
          <w:bCs/>
          <w:sz w:val="24"/>
        </w:rPr>
        <w:t>3.5.1.1前处理生产工艺</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根据客户订货需要，本项目年产3万辆铝制自行车，外购的铝制（铝合金）车架已经过处理，可直接进行喷漆，本厂区不进行铝制车架的前处理。</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对于外购的铁质车架，项目根据车架表面锈蚀氧化程度，分别采用湿式表面处理和干式抛丸处理两类。对于锈蚀或氧化皮比较严重的材料采用湿式处理，对于一般的铁质车架采用干式抛丸处理；根据上海总公司的生产经验，约有25%的外购铁质车架需经过湿式处理，其余75%的进行干式抛丸前处理即可满足质量要求</w:t>
      </w:r>
      <w:r>
        <w:rPr>
          <w:rFonts w:hint="eastAsia" w:ascii="Times New Roman" w:hAnsi="Times New Roman" w:cs="Times New Roman"/>
          <w:sz w:val="24"/>
        </w:rPr>
        <w:t>。现本项目分阶段验收，湿法表面处理工艺未投入运行，故本次生产工艺流程和产污环节分析中不包括该工艺。</w:t>
      </w:r>
      <w:r>
        <w:rPr>
          <w:rFonts w:ascii="Times New Roman" w:hAnsi="Times New Roman" w:cs="Times New Roman"/>
          <w:sz w:val="24"/>
        </w:rPr>
        <w:t>抛丸前处理具体流程及产污环节如下：</w:t>
      </w:r>
    </w:p>
    <w:bookmarkEnd w:id="70"/>
    <w:p>
      <w:pPr>
        <w:spacing w:line="500" w:lineRule="exact"/>
        <w:ind w:firstLine="480" w:firstLineChars="200"/>
        <w:rPr>
          <w:rFonts w:ascii="Times New Roman" w:hAnsi="Times New Roman" w:cs="Times New Roman"/>
          <w:sz w:val="24"/>
        </w:rPr>
      </w:pPr>
      <w:r>
        <w:rPr>
          <w:rFonts w:ascii="Times New Roman" w:hAnsi="Times New Roman" w:cs="Times New Roman"/>
          <w:sz w:val="24"/>
        </w:rPr>
        <w:t>本项目抛丸机由抛丸系统、丸料回收、分离及除尘系统组成，内部有配套的吸尘器进行气流清理，将丸料和清理下来的杂质回收。抛丸结束后，用压缩空气吹清车架表面的氧化皮和粉尘，以达到要求的表面清洁度。</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抛丸机为立式结构，最下方为吸尘器出口，放置1个丸料收集框。抛丸产生的粉尘基本是车架表面的氧化层和锈蚀物，由内部吸尘器收集后，依靠重力作用沉降至收集框内。该过程少量粉尘会飘飞（Gw1-2），在车间无组织排放。</w:t>
      </w:r>
    </w:p>
    <w:p>
      <w:pPr>
        <w:adjustRightInd w:val="0"/>
        <w:snapToGrid w:val="0"/>
        <w:spacing w:line="500" w:lineRule="exact"/>
        <w:ind w:firstLine="480" w:firstLineChars="200"/>
        <w:rPr>
          <w:rFonts w:ascii="Times New Roman" w:hAnsi="Times New Roman" w:cs="Times New Roman"/>
          <w:sz w:val="24"/>
        </w:rPr>
      </w:pPr>
      <w:r>
        <w:rPr>
          <w:rFonts w:ascii="Times New Roman" w:hAnsi="Times New Roman" w:cs="Times New Roman"/>
          <w:sz w:val="24"/>
        </w:rPr>
        <w:t>抛丸工艺及产污环节见图</w:t>
      </w:r>
      <w:r>
        <w:rPr>
          <w:rFonts w:hint="eastAsia" w:ascii="Times New Roman" w:hAnsi="Times New Roman" w:cs="Times New Roman"/>
          <w:sz w:val="24"/>
        </w:rPr>
        <w:t>3-</w:t>
      </w:r>
      <w:r>
        <w:rPr>
          <w:rFonts w:hint="eastAsia" w:ascii="Times New Roman" w:hAnsi="Times New Roman" w:cs="Times New Roman"/>
          <w:sz w:val="24"/>
          <w:lang w:val="en-US" w:eastAsia="zh-CN"/>
        </w:rPr>
        <w:t>6</w:t>
      </w:r>
      <w:r>
        <w:rPr>
          <w:rFonts w:ascii="Times New Roman" w:hAnsi="Times New Roman" w:cs="Times New Roman"/>
          <w:sz w:val="24"/>
        </w:rPr>
        <w:t>。</w:t>
      </w:r>
    </w:p>
    <w:p>
      <w:pPr>
        <w:ind w:firstLine="1680" w:firstLineChars="800"/>
      </w:pPr>
      <w:r>
        <mc:AlternateContent>
          <mc:Choice Requires="wpg">
            <w:drawing>
              <wp:inline distT="0" distB="0" distL="114300" distR="114300">
                <wp:extent cx="3790950" cy="1627505"/>
                <wp:effectExtent l="0" t="0" r="0" b="0"/>
                <wp:docPr id="32" name="组合 49"/>
                <wp:cNvGraphicFramePr/>
                <a:graphic xmlns:a="http://schemas.openxmlformats.org/drawingml/2006/main">
                  <a:graphicData uri="http://schemas.microsoft.com/office/word/2010/wordprocessingGroup">
                    <wpg:wgp>
                      <wpg:cNvGrpSpPr/>
                      <wpg:grpSpPr>
                        <a:xfrm>
                          <a:off x="0" y="0"/>
                          <a:ext cx="3790950" cy="1627505"/>
                          <a:chOff x="0" y="0"/>
                          <a:chExt cx="37920" cy="16287"/>
                        </a:xfrm>
                        <a:effectLst/>
                      </wpg:grpSpPr>
                      <wps:wsp>
                        <wps:cNvPr id="33" name="文本框 271"/>
                        <wps:cNvSpPr txBox="1">
                          <a:spLocks noChangeArrowheads="1"/>
                        </wps:cNvSpPr>
                        <wps:spPr bwMode="auto">
                          <a:xfrm>
                            <a:off x="10001" y="6477"/>
                            <a:ext cx="9620" cy="3238"/>
                          </a:xfrm>
                          <a:prstGeom prst="rect">
                            <a:avLst/>
                          </a:prstGeom>
                          <a:solidFill>
                            <a:sysClr val="window" lastClr="FFFFFF">
                              <a:lumMod val="100000"/>
                              <a:lumOff val="0"/>
                            </a:sysClr>
                          </a:solidFill>
                          <a:ln w="6350">
                            <a:solidFill>
                              <a:srgbClr val="000000"/>
                            </a:solidFill>
                            <a:miter lim="800000"/>
                          </a:ln>
                          <a:effectLst/>
                        </wps:spPr>
                        <wps:txbx>
                          <w:txbxContent>
                            <w:p>
                              <w:pPr>
                                <w:jc w:val="center"/>
                                <w:rPr>
                                  <w:rFonts w:asciiTheme="minorEastAsia" w:hAnsiTheme="minorEastAsia"/>
                                  <w:sz w:val="24"/>
                                </w:rPr>
                              </w:pPr>
                              <w:r>
                                <w:rPr>
                                  <w:rFonts w:hint="eastAsia" w:asciiTheme="minorEastAsia" w:hAnsiTheme="minorEastAsia"/>
                                  <w:sz w:val="24"/>
                                </w:rPr>
                                <w:t>抛丸</w:t>
                              </w:r>
                            </w:p>
                          </w:txbxContent>
                        </wps:txbx>
                        <wps:bodyPr rot="0" vert="horz" wrap="square" lIns="91440" tIns="45720" rIns="91440" bIns="45720" anchor="t" anchorCtr="0" upright="1">
                          <a:noAutofit/>
                        </wps:bodyPr>
                      </wps:wsp>
                      <wps:wsp>
                        <wps:cNvPr id="2" name="文本框 272"/>
                        <wps:cNvSpPr txBox="1">
                          <a:spLocks noChangeArrowheads="1"/>
                        </wps:cNvSpPr>
                        <wps:spPr bwMode="auto">
                          <a:xfrm>
                            <a:off x="10001" y="0"/>
                            <a:ext cx="9620" cy="3238"/>
                          </a:xfrm>
                          <a:prstGeom prst="rect">
                            <a:avLst/>
                          </a:prstGeom>
                          <a:noFill/>
                          <a:ln>
                            <a:noFill/>
                          </a:ln>
                          <a:effectLst/>
                        </wps:spPr>
                        <wps:txbx>
                          <w:txbxContent>
                            <w:p>
                              <w:pPr>
                                <w:jc w:val="center"/>
                                <w:rPr>
                                  <w:rFonts w:asciiTheme="minorEastAsia" w:hAnsiTheme="minorEastAsia"/>
                                  <w:sz w:val="24"/>
                                </w:rPr>
                              </w:pPr>
                              <w:r>
                                <w:rPr>
                                  <w:rFonts w:hint="eastAsia" w:asciiTheme="minorEastAsia" w:hAnsiTheme="minorEastAsia"/>
                                  <w:sz w:val="24"/>
                                </w:rPr>
                                <w:t>铁质车架</w:t>
                              </w:r>
                            </w:p>
                          </w:txbxContent>
                        </wps:txbx>
                        <wps:bodyPr rot="0" vert="horz" wrap="square" lIns="91440" tIns="45720" rIns="91440" bIns="45720" anchor="t" anchorCtr="0" upright="1">
                          <a:noAutofit/>
                        </wps:bodyPr>
                      </wps:wsp>
                      <wps:wsp>
                        <wps:cNvPr id="3" name="直接箭头连接符 273"/>
                        <wps:cNvCnPr>
                          <a:cxnSpLocks noChangeShapeType="1"/>
                        </wps:cNvCnPr>
                        <wps:spPr bwMode="auto">
                          <a:xfrm>
                            <a:off x="14763" y="2667"/>
                            <a:ext cx="0" cy="3333"/>
                          </a:xfrm>
                          <a:prstGeom prst="straightConnector1">
                            <a:avLst/>
                          </a:prstGeom>
                          <a:noFill/>
                          <a:ln w="9525">
                            <a:solidFill>
                              <a:sysClr val="windowText" lastClr="000000">
                                <a:lumMod val="100000"/>
                                <a:lumOff val="0"/>
                              </a:sysClr>
                            </a:solidFill>
                            <a:round/>
                            <a:tailEnd type="stealth" w="med" len="lg"/>
                          </a:ln>
                          <a:effectLst/>
                        </wps:spPr>
                        <wps:bodyPr/>
                      </wps:wsp>
                      <wps:wsp>
                        <wps:cNvPr id="37" name="直接箭头连接符 274"/>
                        <wps:cNvCnPr>
                          <a:cxnSpLocks noChangeShapeType="1"/>
                        </wps:cNvCnPr>
                        <wps:spPr bwMode="auto">
                          <a:xfrm>
                            <a:off x="19621" y="8191"/>
                            <a:ext cx="5144" cy="0"/>
                          </a:xfrm>
                          <a:prstGeom prst="straightConnector1">
                            <a:avLst/>
                          </a:prstGeom>
                          <a:noFill/>
                          <a:ln w="9525">
                            <a:solidFill>
                              <a:sysClr val="windowText" lastClr="000000">
                                <a:lumMod val="100000"/>
                                <a:lumOff val="0"/>
                              </a:sysClr>
                            </a:solidFill>
                            <a:prstDash val="dash"/>
                            <a:round/>
                            <a:tailEnd type="stealth" w="med" len="lg"/>
                          </a:ln>
                          <a:effectLst/>
                        </wps:spPr>
                        <wps:bodyPr/>
                      </wps:wsp>
                      <wps:wsp>
                        <wps:cNvPr id="39" name="文本框 275"/>
                        <wps:cNvSpPr txBox="1">
                          <a:spLocks noChangeArrowheads="1"/>
                        </wps:cNvSpPr>
                        <wps:spPr bwMode="auto">
                          <a:xfrm>
                            <a:off x="24763" y="6474"/>
                            <a:ext cx="13157" cy="4681"/>
                          </a:xfrm>
                          <a:prstGeom prst="rect">
                            <a:avLst/>
                          </a:prstGeom>
                          <a:noFill/>
                          <a:ln>
                            <a:noFill/>
                          </a:ln>
                          <a:effectLst/>
                        </wps:spPr>
                        <wps:txbx>
                          <w:txbxContent>
                            <w:p>
                              <w:pPr>
                                <w:rPr>
                                  <w:rFonts w:ascii="Times New Roman" w:hAnsi="Times New Roman" w:eastAsia="仿宋_GB2312"/>
                                  <w:sz w:val="24"/>
                                </w:rPr>
                              </w:pPr>
                              <w:r>
                                <w:rPr>
                                  <w:rFonts w:ascii="Times New Roman" w:hAnsi="Times New Roman" w:eastAsia="仿宋_GB2312"/>
                                  <w:sz w:val="24"/>
                                </w:rPr>
                                <w:t>Gw</w:t>
                              </w:r>
                              <w:r>
                                <w:rPr>
                                  <w:rFonts w:hint="eastAsia" w:ascii="Times New Roman" w:hAnsi="Times New Roman" w:eastAsia="仿宋_GB2312"/>
                                  <w:sz w:val="24"/>
                                </w:rPr>
                                <w:t>1</w:t>
                              </w:r>
                              <w:r>
                                <w:rPr>
                                  <w:rFonts w:ascii="Times New Roman" w:hAnsi="Times New Roman" w:eastAsia="仿宋_GB2312"/>
                                  <w:sz w:val="24"/>
                                </w:rPr>
                                <w:t>-</w:t>
                              </w:r>
                              <w:r>
                                <w:rPr>
                                  <w:rFonts w:hint="eastAsia" w:ascii="Times New Roman" w:hAnsi="Times New Roman" w:eastAsia="仿宋_GB2312"/>
                                  <w:sz w:val="24"/>
                                </w:rPr>
                                <w:t>2</w:t>
                              </w:r>
                              <w:r>
                                <w:rPr>
                                  <w:rFonts w:hint="eastAsia" w:asciiTheme="minorEastAsia" w:hAnsiTheme="minorEastAsia"/>
                                  <w:sz w:val="24"/>
                                </w:rPr>
                                <w:t>抛丸粉尘</w:t>
                              </w:r>
                            </w:p>
                            <w:p>
                              <w:pPr>
                                <w:rPr>
                                  <w:rFonts w:ascii="Times New Roman" w:hAnsi="Times New Roman" w:eastAsia="仿宋_GB2312"/>
                                  <w:sz w:val="24"/>
                                </w:rPr>
                              </w:pPr>
                              <w:r>
                                <w:rPr>
                                  <w:rFonts w:hint="eastAsia" w:ascii="Times New Roman" w:hAnsi="Times New Roman" w:eastAsia="仿宋_GB2312"/>
                                  <w:sz w:val="24"/>
                                </w:rPr>
                                <w:t>S</w:t>
                              </w:r>
                              <w:r>
                                <w:rPr>
                                  <w:rFonts w:ascii="Times New Roman" w:hAnsi="Times New Roman" w:eastAsia="仿宋_GB2312"/>
                                  <w:sz w:val="24"/>
                                </w:rPr>
                                <w:t>1-1</w:t>
                              </w:r>
                              <w:r>
                                <w:rPr>
                                  <w:rFonts w:hint="eastAsia" w:asciiTheme="minorEastAsia" w:hAnsiTheme="minorEastAsia"/>
                                  <w:sz w:val="24"/>
                                </w:rPr>
                                <w:t>废钢丸</w:t>
                              </w:r>
                            </w:p>
                          </w:txbxContent>
                        </wps:txbx>
                        <wps:bodyPr rot="0" vert="horz" wrap="square" lIns="91440" tIns="45720" rIns="91440" bIns="45720" anchor="t" anchorCtr="0" upright="1">
                          <a:noAutofit/>
                        </wps:bodyPr>
                      </wps:wsp>
                      <wps:wsp>
                        <wps:cNvPr id="40" name="直接箭头连接符 276"/>
                        <wps:cNvCnPr>
                          <a:cxnSpLocks noChangeShapeType="1"/>
                        </wps:cNvCnPr>
                        <wps:spPr bwMode="auto">
                          <a:xfrm>
                            <a:off x="14763" y="9715"/>
                            <a:ext cx="0" cy="3334"/>
                          </a:xfrm>
                          <a:prstGeom prst="straightConnector1">
                            <a:avLst/>
                          </a:prstGeom>
                          <a:noFill/>
                          <a:ln w="9525">
                            <a:solidFill>
                              <a:sysClr val="windowText" lastClr="000000">
                                <a:lumMod val="100000"/>
                                <a:lumOff val="0"/>
                              </a:sysClr>
                            </a:solidFill>
                            <a:round/>
                            <a:tailEnd type="stealth" w="med" len="lg"/>
                          </a:ln>
                          <a:effectLst/>
                        </wps:spPr>
                        <wps:bodyPr/>
                      </wps:wsp>
                      <wps:wsp>
                        <wps:cNvPr id="41" name="文本框 277"/>
                        <wps:cNvSpPr txBox="1">
                          <a:spLocks noChangeArrowheads="1"/>
                        </wps:cNvSpPr>
                        <wps:spPr bwMode="auto">
                          <a:xfrm>
                            <a:off x="10001" y="13049"/>
                            <a:ext cx="9620" cy="3238"/>
                          </a:xfrm>
                          <a:prstGeom prst="rect">
                            <a:avLst/>
                          </a:prstGeom>
                          <a:noFill/>
                          <a:ln>
                            <a:noFill/>
                          </a:ln>
                          <a:effectLst/>
                        </wps:spPr>
                        <wps:txbx>
                          <w:txbxContent>
                            <w:p>
                              <w:pPr>
                                <w:jc w:val="center"/>
                                <w:rPr>
                                  <w:rFonts w:asciiTheme="minorEastAsia" w:hAnsiTheme="minorEastAsia"/>
                                  <w:sz w:val="24"/>
                                </w:rPr>
                              </w:pPr>
                              <w:r>
                                <w:rPr>
                                  <w:rFonts w:hint="eastAsia" w:asciiTheme="minorEastAsia" w:hAnsiTheme="minorEastAsia"/>
                                  <w:sz w:val="24"/>
                                </w:rPr>
                                <w:t>转至喷涂线</w:t>
                              </w:r>
                            </w:p>
                          </w:txbxContent>
                        </wps:txbx>
                        <wps:bodyPr rot="0" vert="horz" wrap="square" lIns="91440" tIns="45720" rIns="91440" bIns="45720" anchor="t" anchorCtr="0" upright="1">
                          <a:noAutofit/>
                        </wps:bodyPr>
                      </wps:wsp>
                      <wps:wsp>
                        <wps:cNvPr id="42" name="直接箭头连接符 42"/>
                        <wps:cNvCnPr>
                          <a:cxnSpLocks noChangeShapeType="1"/>
                        </wps:cNvCnPr>
                        <wps:spPr bwMode="auto">
                          <a:xfrm>
                            <a:off x="4953" y="8382"/>
                            <a:ext cx="5048" cy="0"/>
                          </a:xfrm>
                          <a:prstGeom prst="straightConnector1">
                            <a:avLst/>
                          </a:prstGeom>
                          <a:noFill/>
                          <a:ln w="9525">
                            <a:solidFill>
                              <a:sysClr val="windowText" lastClr="000000">
                                <a:lumMod val="100000"/>
                                <a:lumOff val="0"/>
                              </a:sysClr>
                            </a:solidFill>
                            <a:round/>
                            <a:tailEnd type="stealth" w="med" len="lg"/>
                          </a:ln>
                          <a:effectLst/>
                        </wps:spPr>
                        <wps:bodyPr/>
                      </wps:wsp>
                      <wps:wsp>
                        <wps:cNvPr id="45" name="文本框 48"/>
                        <wps:cNvSpPr txBox="1">
                          <a:spLocks noChangeArrowheads="1"/>
                        </wps:cNvSpPr>
                        <wps:spPr bwMode="auto">
                          <a:xfrm>
                            <a:off x="0" y="6953"/>
                            <a:ext cx="6477" cy="2762"/>
                          </a:xfrm>
                          <a:prstGeom prst="rect">
                            <a:avLst/>
                          </a:prstGeom>
                          <a:solidFill>
                            <a:sysClr val="window" lastClr="FFFFFF">
                              <a:lumMod val="100000"/>
                              <a:lumOff val="0"/>
                            </a:sysClr>
                          </a:solidFill>
                          <a:ln>
                            <a:noFill/>
                          </a:ln>
                          <a:effectLst/>
                        </wps:spPr>
                        <wps:txbx>
                          <w:txbxContent>
                            <w:p>
                              <w:pPr>
                                <w:rPr>
                                  <w:rFonts w:asciiTheme="minorEastAsia" w:hAnsiTheme="minorEastAsia"/>
                                  <w:sz w:val="24"/>
                                </w:rPr>
                              </w:pPr>
                              <w:r>
                                <w:rPr>
                                  <w:rFonts w:hint="eastAsia" w:asciiTheme="minorEastAsia" w:hAnsiTheme="minorEastAsia"/>
                                  <w:sz w:val="24"/>
                                </w:rPr>
                                <w:t>钢丸</w:t>
                              </w:r>
                            </w:p>
                          </w:txbxContent>
                        </wps:txbx>
                        <wps:bodyPr rot="0" vert="horz" wrap="square" lIns="91440" tIns="45720" rIns="91440" bIns="45720" anchor="t" anchorCtr="0" upright="1">
                          <a:noAutofit/>
                        </wps:bodyPr>
                      </wps:wsp>
                    </wpg:wgp>
                  </a:graphicData>
                </a:graphic>
              </wp:inline>
            </w:drawing>
          </mc:Choice>
          <mc:Fallback>
            <w:pict>
              <v:group id="组合 49" o:spid="_x0000_s1026" o:spt="203" style="height:128.15pt;width:298.5pt;" coordsize="37920,16287" o:gfxdata="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">
                <o:lock v:ext="edit" aspectratio="f"/>
                <v:shape id="文本框 271" o:spid="_x0000_s1026" o:spt="202" type="#_x0000_t202" style="position:absolute;left:10001;top:6477;height:3238;width:9620;" fillcolor="#FFFFFF" filled="t" stroked="t" coordsize="21600,21600" o:gfxdata="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eTQDG2AAAA2wAAAA8A&#10;AAAAAAAAAQAgAAAAIgAAAGRycy9kb3ducmV2LnhtbFBLAQIUABQAAAAIAIdO4kAzLwWeOwAAADkA&#10;AAAQAAAAAAAAAAEAIAAAAAUBAABkcnMvc2hhcGV4bWwueG1sUEsFBgAAAAAGAAYAWwEAAK8DAAAA&#10;AA==&#10;">
                  <v:fill on="t" focussize="0,0"/>
                  <v:stroke weight="0.5pt" color="#000000" miterlimit="8" joinstyle="miter"/>
                  <v:imagedata o:title=""/>
                  <o:lock v:ext="edit" aspectratio="f"/>
                  <v:textbox>
                    <w:txbxContent>
                      <w:p>
                        <w:pPr>
                          <w:jc w:val="center"/>
                          <w:rPr>
                            <w:rFonts w:asciiTheme="minorEastAsia" w:hAnsiTheme="minorEastAsia"/>
                            <w:sz w:val="24"/>
                          </w:rPr>
                        </w:pPr>
                        <w:r>
                          <w:rPr>
                            <w:rFonts w:hint="eastAsia" w:asciiTheme="minorEastAsia" w:hAnsiTheme="minorEastAsia"/>
                            <w:sz w:val="24"/>
                          </w:rPr>
                          <w:t>抛丸</w:t>
                        </w:r>
                      </w:p>
                    </w:txbxContent>
                  </v:textbox>
                </v:shape>
                <v:shape id="文本框 272" o:spid="_x0000_s1026" o:spt="202" type="#_x0000_t202" style="position:absolute;left:10001;top:0;height:3238;width:9620;" filled="f" stroked="f" coordsize="21600,21600" o:gfxdata="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4Z3u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pPr>
                          <w:jc w:val="center"/>
                          <w:rPr>
                            <w:rFonts w:asciiTheme="minorEastAsia" w:hAnsiTheme="minorEastAsia"/>
                            <w:sz w:val="24"/>
                          </w:rPr>
                        </w:pPr>
                        <w:r>
                          <w:rPr>
                            <w:rFonts w:hint="eastAsia" w:asciiTheme="minorEastAsia" w:hAnsiTheme="minorEastAsia"/>
                            <w:sz w:val="24"/>
                          </w:rPr>
                          <w:t>铁质车架</w:t>
                        </w:r>
                      </w:p>
                    </w:txbxContent>
                  </v:textbox>
                </v:shape>
                <v:shape id="直接箭头连接符 273" o:spid="_x0000_s1026" o:spt="32" type="#_x0000_t32" style="position:absolute;left:14763;top:2667;height:3333;width:0;" filled="f" stroked="t" coordsize="21600,21600" o:gfxdata="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AiS+8AAAA&#10;2gAAAA8AAAAAAAAAAQAgAAAAIgAAAGRycy9kb3ducmV2LnhtbFBLAQIUABQAAAAIAIdO4kAzLwWe&#10;OwAAADkAAAAQAAAAAAAAAAEAIAAAAAsBAABkcnMvc2hhcGV4bWwueG1sUEsFBgAAAAAGAAYAWwEA&#10;ALUDAAAAAA==&#10;">
                  <v:fill on="f" focussize="0,0"/>
                  <v:stroke color="#000000" joinstyle="round" endarrow="classic" endarrowlength="long"/>
                  <v:imagedata o:title=""/>
                  <o:lock v:ext="edit" aspectratio="f"/>
                </v:shape>
                <v:shape id="直接箭头连接符 274" o:spid="_x0000_s1026" o:spt="32" type="#_x0000_t32" style="position:absolute;left:19621;top:8191;height:0;width:5144;" filled="f" stroked="t" coordsize="21600,21600" o:gfxdata="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wnVkvQAA&#10;ANsAAAAPAAAAAAAAAAEAIAAAACIAAABkcnMvZG93bnJldi54bWxQSwECFAAUAAAACACHTuJAMy8F&#10;njsAAAA5AAAAEAAAAAAAAAABACAAAAAMAQAAZHJzL3NoYXBleG1sLnhtbFBLBQYAAAAABgAGAFsB&#10;AAC2AwAAAAA=&#10;">
                  <v:fill on="f" focussize="0,0"/>
                  <v:stroke color="#000000" joinstyle="round" dashstyle="dash" endarrow="classic" endarrowlength="long"/>
                  <v:imagedata o:title=""/>
                  <o:lock v:ext="edit" aspectratio="f"/>
                </v:shape>
                <v:shape id="文本框 275" o:spid="_x0000_s1026" o:spt="202" type="#_x0000_t202" style="position:absolute;left:24763;top:6474;height:4681;width:13157;" filled="f" stroked="f" coordsize="21600,21600" o:gfxdata="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HML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ascii="Times New Roman" w:hAnsi="Times New Roman" w:eastAsia="仿宋_GB2312"/>
                            <w:sz w:val="24"/>
                          </w:rPr>
                        </w:pPr>
                        <w:r>
                          <w:rPr>
                            <w:rFonts w:ascii="Times New Roman" w:hAnsi="Times New Roman" w:eastAsia="仿宋_GB2312"/>
                            <w:sz w:val="24"/>
                          </w:rPr>
                          <w:t>Gw</w:t>
                        </w:r>
                        <w:r>
                          <w:rPr>
                            <w:rFonts w:hint="eastAsia" w:ascii="Times New Roman" w:hAnsi="Times New Roman" w:eastAsia="仿宋_GB2312"/>
                            <w:sz w:val="24"/>
                          </w:rPr>
                          <w:t>1</w:t>
                        </w:r>
                        <w:r>
                          <w:rPr>
                            <w:rFonts w:ascii="Times New Roman" w:hAnsi="Times New Roman" w:eastAsia="仿宋_GB2312"/>
                            <w:sz w:val="24"/>
                          </w:rPr>
                          <w:t>-</w:t>
                        </w:r>
                        <w:r>
                          <w:rPr>
                            <w:rFonts w:hint="eastAsia" w:ascii="Times New Roman" w:hAnsi="Times New Roman" w:eastAsia="仿宋_GB2312"/>
                            <w:sz w:val="24"/>
                          </w:rPr>
                          <w:t>2</w:t>
                        </w:r>
                        <w:r>
                          <w:rPr>
                            <w:rFonts w:hint="eastAsia" w:asciiTheme="minorEastAsia" w:hAnsiTheme="minorEastAsia"/>
                            <w:sz w:val="24"/>
                          </w:rPr>
                          <w:t>抛丸粉尘</w:t>
                        </w:r>
                      </w:p>
                      <w:p>
                        <w:pPr>
                          <w:rPr>
                            <w:rFonts w:ascii="Times New Roman" w:hAnsi="Times New Roman" w:eastAsia="仿宋_GB2312"/>
                            <w:sz w:val="24"/>
                          </w:rPr>
                        </w:pPr>
                        <w:r>
                          <w:rPr>
                            <w:rFonts w:hint="eastAsia" w:ascii="Times New Roman" w:hAnsi="Times New Roman" w:eastAsia="仿宋_GB2312"/>
                            <w:sz w:val="24"/>
                          </w:rPr>
                          <w:t>S</w:t>
                        </w:r>
                        <w:r>
                          <w:rPr>
                            <w:rFonts w:ascii="Times New Roman" w:hAnsi="Times New Roman" w:eastAsia="仿宋_GB2312"/>
                            <w:sz w:val="24"/>
                          </w:rPr>
                          <w:t>1-1</w:t>
                        </w:r>
                        <w:r>
                          <w:rPr>
                            <w:rFonts w:hint="eastAsia" w:asciiTheme="minorEastAsia" w:hAnsiTheme="minorEastAsia"/>
                            <w:sz w:val="24"/>
                          </w:rPr>
                          <w:t>废钢丸</w:t>
                        </w:r>
                      </w:p>
                    </w:txbxContent>
                  </v:textbox>
                </v:shape>
                <v:shape id="直接箭头连接符 276" o:spid="_x0000_s1026" o:spt="32" type="#_x0000_t32" style="position:absolute;left:14763;top:9715;height:3334;width:0;" filled="f" stroked="t" coordsize="21600,21600" o:gfxdata="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5TfErsAAADb&#10;AAAADwAAAAAAAAABACAAAAAiAAAAZHJzL2Rvd25yZXYueG1sUEsBAhQAFAAAAAgAh07iQDMvBZ47&#10;AAAAOQAAABAAAAAAAAAAAQAgAAAACgEAAGRycy9zaGFwZXhtbC54bWxQSwUGAAAAAAYABgBbAQAA&#10;tAMAAAAA&#10;">
                  <v:fill on="f" focussize="0,0"/>
                  <v:stroke color="#000000" joinstyle="round" endarrow="classic" endarrowlength="long"/>
                  <v:imagedata o:title=""/>
                  <o:lock v:ext="edit" aspectratio="f"/>
                </v:shape>
                <v:shape id="文本框 277" o:spid="_x0000_s1026" o:spt="202" type="#_x0000_t202" style="position:absolute;left:10001;top:13049;height:3238;width:9620;"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rFonts w:asciiTheme="minorEastAsia" w:hAnsiTheme="minorEastAsia"/>
                            <w:sz w:val="24"/>
                          </w:rPr>
                        </w:pPr>
                        <w:r>
                          <w:rPr>
                            <w:rFonts w:hint="eastAsia" w:asciiTheme="minorEastAsia" w:hAnsiTheme="minorEastAsia"/>
                            <w:sz w:val="24"/>
                          </w:rPr>
                          <w:t>转至喷涂线</w:t>
                        </w:r>
                      </w:p>
                    </w:txbxContent>
                  </v:textbox>
                </v:shape>
                <v:shape id="_x0000_s1026" o:spid="_x0000_s1026" o:spt="32" type="#_x0000_t32" style="position:absolute;left:4953;top:8382;height:0;width:5048;" filled="f" stroked="t" coordsize="21600,21600" o:gfxdata="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Ark/r4A&#10;AADbAAAADwAAAAAAAAABACAAAAAiAAAAZHJzL2Rvd25yZXYueG1sUEsBAhQAFAAAAAgAh07iQDMv&#10;BZ47AAAAOQAAABAAAAAAAAAAAQAgAAAADQEAAGRycy9zaGFwZXhtbC54bWxQSwUGAAAAAAYABgBb&#10;AQAAtwMAAAAA&#10;">
                  <v:fill on="f" focussize="0,0"/>
                  <v:stroke color="#000000" joinstyle="round" endarrow="classic" endarrowlength="long"/>
                  <v:imagedata o:title=""/>
                  <o:lock v:ext="edit" aspectratio="f"/>
                </v:shape>
                <v:shape id="文本框 48" o:spid="_x0000_s1026" o:spt="202" type="#_x0000_t202" style="position:absolute;left:0;top:6953;height:2762;width:6477;" fillcolor="#FFFFFF" filled="t" stroked="f" coordsize="21600,21600" o:gfxdata="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ZYk97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rPr>
                            <w:rFonts w:asciiTheme="minorEastAsia" w:hAnsiTheme="minorEastAsia"/>
                            <w:sz w:val="24"/>
                          </w:rPr>
                        </w:pPr>
                        <w:r>
                          <w:rPr>
                            <w:rFonts w:hint="eastAsia" w:asciiTheme="minorEastAsia" w:hAnsiTheme="minorEastAsia"/>
                            <w:sz w:val="24"/>
                          </w:rPr>
                          <w:t>钢丸</w:t>
                        </w:r>
                      </w:p>
                    </w:txbxContent>
                  </v:textbox>
                </v:shape>
                <w10:wrap type="none"/>
                <w10:anchorlock/>
              </v:group>
            </w:pict>
          </mc:Fallback>
        </mc:AlternateContent>
      </w:r>
    </w:p>
    <w:p>
      <w:pPr>
        <w:pStyle w:val="7"/>
        <w:bidi w:val="0"/>
      </w:pPr>
      <w:r>
        <w:t>图</w:t>
      </w:r>
      <w:r>
        <w:rPr>
          <w:rFonts w:hint="eastAsia"/>
          <w:lang w:eastAsia="zh-CN"/>
        </w:rPr>
        <w:t>3-</w:t>
      </w:r>
      <w:r>
        <w:rPr>
          <w:rFonts w:hint="eastAsia"/>
          <w:lang w:val="en-US" w:eastAsia="zh-CN"/>
        </w:rPr>
        <w:t>6</w:t>
      </w:r>
      <w:r>
        <w:rPr>
          <w:rFonts w:hint="eastAsia"/>
          <w:lang w:eastAsia="zh-CN"/>
        </w:rPr>
        <w:t xml:space="preserve">  抛丸工艺流程及产排污节点图</w:t>
      </w:r>
    </w:p>
    <w:p>
      <w:pPr>
        <w:spacing w:line="500" w:lineRule="exact"/>
        <w:ind w:firstLine="482" w:firstLineChars="200"/>
        <w:rPr>
          <w:rFonts w:ascii="Times New Roman" w:hAnsi="Times New Roman" w:cs="Times New Roman"/>
          <w:b/>
          <w:bCs/>
          <w:sz w:val="24"/>
        </w:rPr>
      </w:pPr>
    </w:p>
    <w:p>
      <w:pPr>
        <w:spacing w:line="500" w:lineRule="exact"/>
        <w:ind w:firstLine="482" w:firstLineChars="200"/>
        <w:outlineLvl w:val="3"/>
        <w:rPr>
          <w:rFonts w:ascii="Times New Roman" w:hAnsi="Times New Roman" w:cs="Times New Roman"/>
          <w:b/>
          <w:bCs/>
          <w:sz w:val="24"/>
        </w:rPr>
      </w:pPr>
      <w:r>
        <w:rPr>
          <w:rFonts w:hint="eastAsia" w:ascii="Times New Roman" w:hAnsi="Times New Roman" w:cs="Times New Roman"/>
          <w:b/>
          <w:bCs/>
          <w:sz w:val="24"/>
        </w:rPr>
        <w:t>3.5.1.2</w:t>
      </w:r>
      <w:r>
        <w:rPr>
          <w:rFonts w:ascii="Times New Roman" w:hAnsi="Times New Roman" w:cs="Times New Roman"/>
          <w:b/>
          <w:bCs/>
          <w:sz w:val="24"/>
        </w:rPr>
        <w:t>涂装生产工艺</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为保证产品质量要求，采用手工喷漆和静电喷漆相结合的喷涂工艺。根据建设单位提供资料，车架的涂装面积约140000m</w:t>
      </w:r>
      <w:r>
        <w:rPr>
          <w:rFonts w:ascii="Times New Roman" w:hAnsi="Times New Roman" w:cs="Times New Roman"/>
          <w:sz w:val="24"/>
          <w:vertAlign w:val="superscript"/>
        </w:rPr>
        <w:t>2</w:t>
      </w:r>
      <w:r>
        <w:rPr>
          <w:rFonts w:ascii="Times New Roman" w:hAnsi="Times New Roman" w:cs="Times New Roman"/>
          <w:sz w:val="24"/>
        </w:rPr>
        <w:t>/a，静电喷漆面积约80%，其余20%依靠人工喷漆。</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涂装生产线为悬链流水线作业，由送风系统、室体、气流分配过滤装置、漆雾处理装置、排风系统等部分组成，包括喷底漆、面漆、罩光漆以及对应流平烘干和贴花烘花等工序。底漆、面漆以及罩光漆涂装工艺相同，具体包括：调漆、前补喷（人工喷漆）、自动喷（静电喷漆）、后补喷（人工喷漆）、流平、烘干。</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涂装生产线共设置9个喷漆室、3个流平烘干室、1个贴花室和1个烘花室。其中静电喷漆室3个，每个喷漆室设置1个工位；手动喷漆室6个，共设置9个工位；流平烘干室3个、烘花室1个，热源来自天然气燃烧。</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本项目涂装生产线工艺流程及产污节点详见图</w:t>
      </w:r>
      <w:r>
        <w:rPr>
          <w:rFonts w:hint="eastAsia" w:ascii="Times New Roman" w:hAnsi="Times New Roman" w:cs="Times New Roman"/>
          <w:sz w:val="24"/>
        </w:rPr>
        <w:t>3-</w:t>
      </w:r>
      <w:r>
        <w:rPr>
          <w:rFonts w:hint="eastAsia" w:ascii="Times New Roman" w:hAnsi="Times New Roman" w:cs="Times New Roman"/>
          <w:sz w:val="24"/>
          <w:lang w:val="en-US" w:eastAsia="zh-CN"/>
        </w:rPr>
        <w:t>7</w:t>
      </w:r>
      <w:r>
        <w:rPr>
          <w:rFonts w:hint="eastAsia" w:ascii="Times New Roman" w:hAnsi="Times New Roman" w:cs="Times New Roman"/>
          <w:sz w:val="24"/>
        </w:rPr>
        <w:t>。</w:t>
      </w:r>
    </w:p>
    <w:p>
      <w:pPr>
        <w:jc w:val="center"/>
      </w:pPr>
    </w:p>
    <w:p>
      <w:pPr>
        <w:jc w:val="center"/>
      </w:pPr>
    </w:p>
    <w:p>
      <w:pPr>
        <w:jc w:val="center"/>
      </w:pPr>
    </w:p>
    <w:p>
      <w:pPr>
        <w:jc w:val="center"/>
      </w:pPr>
    </w:p>
    <w:p>
      <w:pPr>
        <w:jc w:val="center"/>
      </w:pPr>
      <w:r>
        <w:object>
          <v:shape id="_x0000_i1025" o:spt="75" type="#_x0000_t75" style="height:632.2pt;width:258.95pt;" o:ole="t" filled="f" o:preferrelative="t" stroked="f" coordsize="21600,21600">
            <v:path/>
            <v:fill on="f" focussize="0,0"/>
            <v:stroke on="f"/>
            <v:imagedata r:id="rId17" cropleft="26353f" croptop="11966f" cropright="34602f" cropbottom="17714f" o:title=""/>
            <o:lock v:ext="edit" aspectratio="t"/>
            <w10:wrap type="none"/>
            <w10:anchorlock/>
          </v:shape>
          <o:OLEObject Type="Embed" ProgID="AutoCAD.Drawing.19" ShapeID="_x0000_i1025" DrawAspect="Content" ObjectID="_1468075725" r:id="rId16">
            <o:LockedField>false</o:LockedField>
          </o:OLEObject>
        </w:object>
      </w:r>
    </w:p>
    <w:p>
      <w:pPr>
        <w:pStyle w:val="7"/>
        <w:spacing w:before="60" w:after="60"/>
        <w:jc w:val="center"/>
        <w:sectPr>
          <w:pgSz w:w="11906" w:h="16838"/>
          <w:pgMar w:top="1440" w:right="1800" w:bottom="1440" w:left="1800" w:header="851" w:footer="992" w:gutter="0"/>
          <w:cols w:space="425" w:num="1"/>
          <w:docGrid w:type="lines" w:linePitch="312" w:charSpace="0"/>
        </w:sectPr>
      </w:pPr>
      <w:r>
        <w:t>图</w:t>
      </w:r>
      <w:r>
        <w:rPr>
          <w:rFonts w:hint="eastAsia"/>
          <w:lang w:eastAsia="zh-CN"/>
        </w:rPr>
        <w:t>3-</w:t>
      </w:r>
      <w:r>
        <w:rPr>
          <w:rFonts w:hint="eastAsia"/>
          <w:lang w:val="en-US" w:eastAsia="zh-CN"/>
        </w:rPr>
        <w:t>7</w:t>
      </w:r>
      <w:r>
        <w:rPr>
          <w:rFonts w:hint="eastAsia"/>
          <w:lang w:eastAsia="zh-CN"/>
        </w:rPr>
        <w:t xml:space="preserve">  车架涂装处理工艺流程及产排污节点图</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（1）底漆涂装</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A.调漆</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本项目</w:t>
      </w:r>
      <w:r>
        <w:rPr>
          <w:rFonts w:hint="eastAsia" w:ascii="Times New Roman" w:hAnsi="Times New Roman" w:cs="Times New Roman"/>
          <w:sz w:val="24"/>
        </w:rPr>
        <w:t>底漆</w:t>
      </w:r>
      <w:r>
        <w:rPr>
          <w:rFonts w:ascii="Times New Roman" w:hAnsi="Times New Roman" w:cs="Times New Roman"/>
          <w:sz w:val="24"/>
        </w:rPr>
        <w:t>、面漆、罩光漆调漆</w:t>
      </w:r>
      <w:r>
        <w:rPr>
          <w:rFonts w:hint="eastAsia" w:ascii="Times New Roman" w:hAnsi="Times New Roman" w:cs="Times New Roman"/>
          <w:sz w:val="24"/>
        </w:rPr>
        <w:t>都</w:t>
      </w:r>
      <w:r>
        <w:rPr>
          <w:rFonts w:ascii="Times New Roman" w:hAnsi="Times New Roman" w:cs="Times New Roman"/>
          <w:sz w:val="24"/>
        </w:rPr>
        <w:t>在</w:t>
      </w:r>
      <w:r>
        <w:rPr>
          <w:rFonts w:hint="eastAsia" w:ascii="Times New Roman" w:hAnsi="Times New Roman" w:cs="Times New Roman"/>
          <w:sz w:val="24"/>
        </w:rPr>
        <w:t>对应</w:t>
      </w:r>
      <w:r>
        <w:rPr>
          <w:rFonts w:ascii="Times New Roman" w:hAnsi="Times New Roman" w:cs="Times New Roman"/>
          <w:sz w:val="24"/>
        </w:rPr>
        <w:t>的</w:t>
      </w:r>
      <w:r>
        <w:rPr>
          <w:rFonts w:hint="eastAsia" w:ascii="Times New Roman" w:hAnsi="Times New Roman" w:cs="Times New Roman"/>
          <w:sz w:val="24"/>
        </w:rPr>
        <w:t>静电</w:t>
      </w:r>
      <w:r>
        <w:rPr>
          <w:rFonts w:ascii="Times New Roman" w:hAnsi="Times New Roman" w:cs="Times New Roman"/>
          <w:sz w:val="24"/>
        </w:rPr>
        <w:t>喷漆室内进行。按工艺要求调配油漆的粘度，将油漆桶放置在调漆罐旁，放入虹吸管，将漆料打入调漆罐中，然后定量加注稀释剂。本项目底漆所用漆料由丙烯酸烤漆:稀释剂按3:2的比例调配制成。加料完毕后进行手动搅拌，测量涂料粘度达工艺要求范围后，将涂料打入油漆罐中使用。调漆过程中，会有调漆废气G2-1（主要污染物为VOCs）挥发，经风机收集后汇入喷漆废气处理系统，经</w:t>
      </w:r>
      <w:r>
        <w:rPr>
          <w:rFonts w:hint="eastAsia" w:ascii="Times New Roman" w:hAnsi="Times New Roman" w:cs="Times New Roman"/>
          <w:sz w:val="24"/>
          <w:lang w:val="en-US" w:eastAsia="zh-CN"/>
        </w:rPr>
        <w:t>1套“</w:t>
      </w:r>
      <w:r>
        <w:rPr>
          <w:rFonts w:ascii="Times New Roman" w:hAnsi="Times New Roman" w:cs="Times New Roman"/>
          <w:sz w:val="24"/>
        </w:rPr>
        <w:t>水喷淋</w:t>
      </w:r>
      <w:r>
        <w:rPr>
          <w:rFonts w:hint="eastAsia" w:ascii="Times New Roman" w:hAnsi="Times New Roman" w:cs="Times New Roman"/>
          <w:sz w:val="24"/>
          <w:lang w:val="en-US" w:eastAsia="zh-CN"/>
        </w:rPr>
        <w:t>”处理后，与其他喷漆废气合并，经1套</w:t>
      </w:r>
      <w:r>
        <w:rPr>
          <w:rFonts w:ascii="Times New Roman" w:hAnsi="Times New Roman" w:cs="Times New Roman"/>
          <w:sz w:val="24"/>
        </w:rPr>
        <w:t>UV光解集中处理后，尾气通过</w:t>
      </w:r>
      <w:r>
        <w:rPr>
          <w:rFonts w:hint="eastAsia" w:ascii="Times New Roman" w:hAnsi="Times New Roman" w:cs="Times New Roman"/>
          <w:sz w:val="24"/>
          <w:lang w:val="en-US" w:eastAsia="zh-CN"/>
        </w:rPr>
        <w:t>1</w:t>
      </w:r>
      <w:r>
        <w:rPr>
          <w:rFonts w:ascii="Times New Roman" w:hAnsi="Times New Roman" w:cs="Times New Roman"/>
          <w:sz w:val="24"/>
        </w:rPr>
        <w:t>#排气筒排出。</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B.喷底漆</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首先进行底漆前补喷，由人工手持喷枪对车架正面角落部分进行喷涂，工件与喷枪约300mm，前补喷设置2台涂料喷出量约120ml/min的喷枪。手动喷涂室采用</w:t>
      </w:r>
      <w:r>
        <w:rPr>
          <w:rFonts w:hint="eastAsia" w:ascii="Times New Roman" w:hAnsi="Times New Roman" w:cs="Times New Roman"/>
          <w:sz w:val="24"/>
        </w:rPr>
        <w:t>下</w:t>
      </w:r>
      <w:r>
        <w:rPr>
          <w:rFonts w:ascii="Times New Roman" w:hAnsi="Times New Roman" w:cs="Times New Roman"/>
          <w:sz w:val="24"/>
        </w:rPr>
        <w:t>送风</w:t>
      </w:r>
      <w:r>
        <w:rPr>
          <w:rFonts w:hint="eastAsia" w:ascii="Times New Roman" w:hAnsi="Times New Roman" w:cs="Times New Roman"/>
          <w:sz w:val="24"/>
        </w:rPr>
        <w:t>上</w:t>
      </w:r>
      <w:r>
        <w:rPr>
          <w:rFonts w:ascii="Times New Roman" w:hAnsi="Times New Roman" w:cs="Times New Roman"/>
          <w:sz w:val="24"/>
        </w:rPr>
        <w:t>排风</w:t>
      </w:r>
      <w:r>
        <w:rPr>
          <w:rFonts w:hint="eastAsia" w:ascii="Times New Roman" w:hAnsi="Times New Roman" w:cs="Times New Roman"/>
          <w:sz w:val="24"/>
        </w:rPr>
        <w:t>的</w:t>
      </w:r>
      <w:r>
        <w:rPr>
          <w:rFonts w:ascii="Times New Roman" w:hAnsi="Times New Roman" w:cs="Times New Roman"/>
          <w:sz w:val="24"/>
        </w:rPr>
        <w:t>密闭带水帘喷漆室，水帘设在手动喷漆工位前侧，水帘规格约3m×2.5m。手动喷漆废气（含漆雾、VOCs）经水帘除去大部分漆雾后，再汇入喷漆废气处理系统，经</w:t>
      </w:r>
      <w:r>
        <w:rPr>
          <w:rFonts w:hint="eastAsia" w:ascii="Times New Roman" w:hAnsi="Times New Roman" w:cs="Times New Roman"/>
          <w:sz w:val="24"/>
          <w:lang w:val="en-US" w:eastAsia="zh-CN"/>
        </w:rPr>
        <w:t>1套“</w:t>
      </w:r>
      <w:r>
        <w:rPr>
          <w:rFonts w:ascii="Times New Roman" w:hAnsi="Times New Roman" w:cs="Times New Roman"/>
          <w:sz w:val="24"/>
        </w:rPr>
        <w:t>水喷淋</w:t>
      </w:r>
      <w:r>
        <w:rPr>
          <w:rFonts w:hint="eastAsia" w:ascii="Times New Roman" w:hAnsi="Times New Roman" w:cs="Times New Roman"/>
          <w:sz w:val="24"/>
          <w:lang w:val="en-US" w:eastAsia="zh-CN"/>
        </w:rPr>
        <w:t>”处理后，与其他喷漆废气合并，经1套</w:t>
      </w:r>
      <w:r>
        <w:rPr>
          <w:rFonts w:ascii="Times New Roman" w:hAnsi="Times New Roman" w:cs="Times New Roman"/>
          <w:sz w:val="24"/>
        </w:rPr>
        <w:t>UV光解集中处理后，尾气通过</w:t>
      </w:r>
      <w:r>
        <w:rPr>
          <w:rFonts w:hint="eastAsia" w:ascii="Times New Roman" w:hAnsi="Times New Roman" w:cs="Times New Roman"/>
          <w:sz w:val="24"/>
          <w:lang w:val="en-US" w:eastAsia="zh-CN"/>
        </w:rPr>
        <w:t>1</w:t>
      </w:r>
      <w:r>
        <w:rPr>
          <w:rFonts w:ascii="Times New Roman" w:hAnsi="Times New Roman" w:cs="Times New Roman"/>
          <w:sz w:val="24"/>
        </w:rPr>
        <w:t>#排气筒排出。涂装生产线北侧地下设置循环水池1座，漆雾进入水帘后形成漆渣，随水流进入循环水池；漆渣定期清捞、作为危废处置，废水定期排至美乐集团污水处理站。</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前补喷后，车架经悬链转至静电自动喷涂室，利用正、负极相吸原理，油漆在高速旋转盘雾化后喷涂在车架上，工件与喷头约500mm，喷盘喷出量约1000ml/min。静电喷漆室采用上送风下排风密闭干式喷漆室，静电喷漆废气（含漆雾、VOCs）经过滤毡除去大部分漆雾后，再汇入喷漆废气处理系统，经</w:t>
      </w:r>
      <w:r>
        <w:rPr>
          <w:rFonts w:hint="eastAsia" w:ascii="Times New Roman" w:hAnsi="Times New Roman" w:cs="Times New Roman"/>
          <w:sz w:val="24"/>
          <w:lang w:val="en-US" w:eastAsia="zh-CN"/>
        </w:rPr>
        <w:t>1套“</w:t>
      </w:r>
      <w:r>
        <w:rPr>
          <w:rFonts w:ascii="Times New Roman" w:hAnsi="Times New Roman" w:cs="Times New Roman"/>
          <w:sz w:val="24"/>
        </w:rPr>
        <w:t>水喷淋</w:t>
      </w:r>
      <w:r>
        <w:rPr>
          <w:rFonts w:hint="eastAsia" w:ascii="Times New Roman" w:hAnsi="Times New Roman" w:cs="Times New Roman"/>
          <w:sz w:val="24"/>
          <w:lang w:val="en-US" w:eastAsia="zh-CN"/>
        </w:rPr>
        <w:t>”处理后，与其他喷漆废气合并，经1套</w:t>
      </w:r>
      <w:r>
        <w:rPr>
          <w:rFonts w:ascii="Times New Roman" w:hAnsi="Times New Roman" w:cs="Times New Roman"/>
          <w:sz w:val="24"/>
        </w:rPr>
        <w:t>UV光解集中处理后，尾气通过</w:t>
      </w:r>
      <w:r>
        <w:rPr>
          <w:rFonts w:hint="eastAsia" w:ascii="Times New Roman" w:hAnsi="Times New Roman" w:cs="Times New Roman"/>
          <w:sz w:val="24"/>
          <w:lang w:val="en-US" w:eastAsia="zh-CN"/>
        </w:rPr>
        <w:t>1</w:t>
      </w:r>
      <w:r>
        <w:rPr>
          <w:rFonts w:ascii="Times New Roman" w:hAnsi="Times New Roman" w:cs="Times New Roman"/>
          <w:sz w:val="24"/>
        </w:rPr>
        <w:t>#排气筒排出。漆雾随喷漆室内强制排风会被吸附在过滤毡上，过滤毡定期更换，作危废处置。</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静电自动喷完后转到后补喷室，后补喷与前补喷工艺类似，不同的是目测检查油漆喷的均匀度，否则进行修补，确保产品满足质量标准。</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喷底漆一次历时约15分钟，漆膜厚度为24μm，人工喷涂占总量的20%，油漆固体成分附着率约为40%；静电自动喷涂约占总量的80%，油漆固体成分附着率约为70%。</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C.底漆流平、烘干、冷却</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喷底漆完成后的车架由输送悬链送入流平室，完成漆后有机溶剂的适当挥发，时间约5min。结束后，车架进入烘干室，烘干温度为70~80℃，时间约25~30min；烘干以天然气为燃料，</w:t>
      </w:r>
      <w:r>
        <w:rPr>
          <w:rFonts w:hint="eastAsia" w:ascii="Times New Roman" w:hAnsi="Times New Roman" w:cs="Times New Roman"/>
          <w:sz w:val="24"/>
        </w:rPr>
        <w:t>本项目</w:t>
      </w:r>
      <w:r>
        <w:rPr>
          <w:rFonts w:ascii="Times New Roman" w:hAnsi="Times New Roman" w:cs="Times New Roman"/>
          <w:sz w:val="24"/>
        </w:rPr>
        <w:t>配置专用的燃烧设备，天然气</w:t>
      </w:r>
      <w:r>
        <w:rPr>
          <w:rFonts w:hint="eastAsia" w:ascii="Times New Roman" w:hAnsi="Times New Roman" w:cs="Times New Roman"/>
          <w:sz w:val="24"/>
        </w:rPr>
        <w:t>燃烧间接</w:t>
      </w:r>
      <w:r>
        <w:rPr>
          <w:rFonts w:ascii="Times New Roman" w:hAnsi="Times New Roman" w:cs="Times New Roman"/>
          <w:sz w:val="24"/>
        </w:rPr>
        <w:t>加热空气</w:t>
      </w:r>
      <w:r>
        <w:rPr>
          <w:rFonts w:hint="eastAsia" w:ascii="Times New Roman" w:hAnsi="Times New Roman" w:cs="Times New Roman"/>
          <w:sz w:val="24"/>
        </w:rPr>
        <w:t>；</w:t>
      </w:r>
      <w:r>
        <w:rPr>
          <w:rFonts w:ascii="Times New Roman" w:hAnsi="Times New Roman" w:cs="Times New Roman"/>
          <w:sz w:val="24"/>
        </w:rPr>
        <w:t>烘干室采用热风循环对流方式，使漆膜干燥均匀、充分</w:t>
      </w:r>
      <w:r>
        <w:rPr>
          <w:rFonts w:hint="eastAsia" w:ascii="Times New Roman" w:hAnsi="Times New Roman" w:cs="Times New Roman"/>
          <w:sz w:val="24"/>
        </w:rPr>
        <w:t>。</w:t>
      </w:r>
      <w:r>
        <w:rPr>
          <w:rFonts w:ascii="Times New Roman" w:hAnsi="Times New Roman" w:cs="Times New Roman"/>
          <w:sz w:val="24"/>
        </w:rPr>
        <w:t>在流平烘干过程中，表面涂层中的有机溶剂挥发出来；流平室及烘干室共用排风系统，本次评价将流平烘干废气（G2-3）一起考虑，由风机收集后，进入烘干废气处理系统，经</w:t>
      </w:r>
      <w:r>
        <w:rPr>
          <w:rFonts w:hint="eastAsia" w:ascii="Times New Roman" w:hAnsi="Times New Roman" w:cs="Times New Roman"/>
          <w:sz w:val="24"/>
          <w:lang w:val="en-US" w:eastAsia="zh-CN"/>
        </w:rPr>
        <w:t>1套“</w:t>
      </w:r>
      <w:r>
        <w:rPr>
          <w:rFonts w:ascii="Times New Roman" w:hAnsi="Times New Roman" w:cs="Times New Roman"/>
          <w:sz w:val="24"/>
        </w:rPr>
        <w:t>水喷淋+UV光解</w:t>
      </w:r>
      <w:r>
        <w:rPr>
          <w:rFonts w:hint="eastAsia" w:ascii="Times New Roman" w:hAnsi="Times New Roman" w:cs="Times New Roman"/>
          <w:sz w:val="24"/>
          <w:lang w:val="en-US" w:eastAsia="zh-CN"/>
        </w:rPr>
        <w:t>”</w:t>
      </w:r>
      <w:r>
        <w:rPr>
          <w:rFonts w:ascii="Times New Roman" w:hAnsi="Times New Roman" w:cs="Times New Roman"/>
          <w:sz w:val="24"/>
        </w:rPr>
        <w:t>集中处理后</w:t>
      </w:r>
      <w:r>
        <w:rPr>
          <w:rFonts w:ascii="Times New Roman" w:hAnsi="Times New Roman" w:cs="Times New Roman"/>
          <w:color w:val="auto"/>
          <w:sz w:val="24"/>
        </w:rPr>
        <w:t>，尾气</w:t>
      </w:r>
      <w:r>
        <w:rPr>
          <w:rFonts w:hint="eastAsia" w:ascii="Times New Roman" w:hAnsi="Times New Roman" w:cs="Times New Roman"/>
          <w:color w:val="auto"/>
          <w:sz w:val="24"/>
        </w:rPr>
        <w:t>并入</w:t>
      </w:r>
      <w:r>
        <w:rPr>
          <w:rFonts w:hint="eastAsia" w:ascii="Times New Roman" w:hAnsi="Times New Roman" w:cs="Times New Roman"/>
          <w:color w:val="auto"/>
          <w:sz w:val="24"/>
          <w:lang w:val="en-US" w:eastAsia="zh-CN"/>
        </w:rPr>
        <w:t>2</w:t>
      </w:r>
      <w:r>
        <w:rPr>
          <w:rFonts w:hint="eastAsia" w:ascii="Times New Roman" w:hAnsi="Times New Roman" w:cs="Times New Roman"/>
          <w:color w:val="auto"/>
          <w:sz w:val="24"/>
        </w:rPr>
        <w:t>#排气筒排出</w:t>
      </w:r>
      <w:r>
        <w:rPr>
          <w:rFonts w:ascii="Times New Roman" w:hAnsi="Times New Roman" w:cs="Times New Roman"/>
          <w:color w:val="auto"/>
          <w:sz w:val="24"/>
        </w:rPr>
        <w:t>。</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漆膜烘干后自然冷却至30</w:t>
      </w:r>
      <w:r>
        <w:rPr>
          <w:rFonts w:hint="eastAsia" w:ascii="Times New Roman" w:hAnsi="Times New Roman" w:cs="Times New Roman"/>
          <w:sz w:val="24"/>
        </w:rPr>
        <w:t>℃</w:t>
      </w:r>
      <w:r>
        <w:rPr>
          <w:rFonts w:ascii="Times New Roman" w:hAnsi="Times New Roman" w:cs="Times New Roman"/>
          <w:sz w:val="24"/>
        </w:rPr>
        <w:t>以下，时间一般为5min。</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（2）贴花、烘花、冷却</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喷漆完成后的工件由输送悬链送入贴花室，通过人工将贴花纸黏在车架表面，贴花溶剂采用水和BCS（</w:t>
      </w:r>
      <w:r>
        <w:rPr>
          <w:rFonts w:hint="eastAsia" w:ascii="Times New Roman" w:hAnsi="Times New Roman" w:cs="Times New Roman"/>
          <w:sz w:val="24"/>
          <w:lang w:eastAsia="zh-CN"/>
        </w:rPr>
        <w:t>丙二醇</w:t>
      </w:r>
      <w:r>
        <w:rPr>
          <w:rFonts w:ascii="Times New Roman" w:hAnsi="Times New Roman" w:cs="Times New Roman"/>
          <w:sz w:val="24"/>
        </w:rPr>
        <w:t>丁醚）按比例配制，</w:t>
      </w:r>
      <w:r>
        <w:rPr>
          <w:rFonts w:hint="eastAsia" w:ascii="Times New Roman" w:hAnsi="Times New Roman" w:cs="Times New Roman"/>
          <w:sz w:val="24"/>
          <w:lang w:eastAsia="zh-CN"/>
        </w:rPr>
        <w:t>丙二醇</w:t>
      </w:r>
      <w:r>
        <w:rPr>
          <w:rFonts w:ascii="Times New Roman" w:hAnsi="Times New Roman" w:cs="Times New Roman"/>
          <w:sz w:val="24"/>
        </w:rPr>
        <w:t>丁醚含量为11-26%，根据季节需要调整贴花溶剂的配比，本次评价贴花溶剂中</w:t>
      </w:r>
      <w:r>
        <w:rPr>
          <w:rFonts w:hint="eastAsia" w:ascii="Times New Roman" w:hAnsi="Times New Roman" w:cs="Times New Roman"/>
          <w:sz w:val="24"/>
          <w:lang w:eastAsia="zh-CN"/>
        </w:rPr>
        <w:t>丙二醇</w:t>
      </w:r>
      <w:r>
        <w:rPr>
          <w:rFonts w:ascii="Times New Roman" w:hAnsi="Times New Roman" w:cs="Times New Roman"/>
          <w:sz w:val="24"/>
        </w:rPr>
        <w:t>丁醚含量以20%计。贴花过程中有少量有机废气挥发（Gw2-4），贴花均为人工操作，废气无法有效收集，作无组织排放。</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贴花完成后，车架由输送悬链送入烘花室，在70~80</w:t>
      </w:r>
      <w:r>
        <w:rPr>
          <w:rFonts w:hint="eastAsia" w:ascii="Times New Roman" w:hAnsi="Times New Roman" w:cs="Times New Roman"/>
          <w:sz w:val="24"/>
        </w:rPr>
        <w:t>℃</w:t>
      </w:r>
      <w:r>
        <w:rPr>
          <w:rFonts w:ascii="Times New Roman" w:hAnsi="Times New Roman" w:cs="Times New Roman"/>
          <w:sz w:val="24"/>
        </w:rPr>
        <w:t>温度下烘烤25~30min，然后自然冷却5min左右，能够使贴纸牢固地附着在车架表面。烘花过程溶剂全部挥发（G2-5），由风机收集后汇入烘干废气处理系统，经</w:t>
      </w:r>
      <w:r>
        <w:rPr>
          <w:rFonts w:hint="eastAsia" w:ascii="Times New Roman" w:hAnsi="Times New Roman" w:cs="Times New Roman"/>
          <w:sz w:val="24"/>
          <w:lang w:val="en-US" w:eastAsia="zh-CN"/>
        </w:rPr>
        <w:t>1套“</w:t>
      </w:r>
      <w:r>
        <w:rPr>
          <w:rFonts w:ascii="Times New Roman" w:hAnsi="Times New Roman" w:cs="Times New Roman"/>
          <w:sz w:val="24"/>
        </w:rPr>
        <w:t>水喷淋+UV光解</w:t>
      </w:r>
      <w:r>
        <w:rPr>
          <w:rFonts w:hint="eastAsia" w:ascii="Times New Roman" w:hAnsi="Times New Roman" w:cs="Times New Roman"/>
          <w:sz w:val="24"/>
          <w:lang w:eastAsia="zh-CN"/>
        </w:rPr>
        <w:t>”</w:t>
      </w:r>
      <w:r>
        <w:rPr>
          <w:rFonts w:ascii="Times New Roman" w:hAnsi="Times New Roman" w:cs="Times New Roman"/>
          <w:sz w:val="24"/>
        </w:rPr>
        <w:t>集</w:t>
      </w:r>
      <w:r>
        <w:rPr>
          <w:rFonts w:ascii="Times New Roman" w:hAnsi="Times New Roman" w:cs="Times New Roman"/>
          <w:color w:val="auto"/>
          <w:sz w:val="24"/>
        </w:rPr>
        <w:t>中处理后，尾气</w:t>
      </w:r>
      <w:r>
        <w:rPr>
          <w:rFonts w:hint="eastAsia" w:ascii="Times New Roman" w:hAnsi="Times New Roman" w:cs="Times New Roman"/>
          <w:color w:val="auto"/>
          <w:sz w:val="24"/>
        </w:rPr>
        <w:t>并入</w:t>
      </w:r>
      <w:r>
        <w:rPr>
          <w:rFonts w:hint="eastAsia" w:ascii="Times New Roman" w:hAnsi="Times New Roman" w:cs="Times New Roman"/>
          <w:color w:val="auto"/>
          <w:sz w:val="24"/>
          <w:lang w:val="en-US" w:eastAsia="zh-CN"/>
        </w:rPr>
        <w:t>2</w:t>
      </w:r>
      <w:r>
        <w:rPr>
          <w:rFonts w:hint="eastAsia" w:ascii="Times New Roman" w:hAnsi="Times New Roman" w:cs="Times New Roman"/>
          <w:color w:val="auto"/>
          <w:sz w:val="24"/>
        </w:rPr>
        <w:t>#排气筒排出</w:t>
      </w:r>
      <w:r>
        <w:rPr>
          <w:rFonts w:ascii="Times New Roman" w:hAnsi="Times New Roman" w:cs="Times New Roman"/>
          <w:color w:val="auto"/>
          <w:sz w:val="24"/>
        </w:rPr>
        <w:t>。</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（3）面漆涂装</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面漆膜厚度为24μm，所用漆料和底漆相同，调漆、喷漆、流平烘干工艺参数控制以及废气的收集处理方式与底漆时相同，具体不再赘述。</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（4）罩光漆涂装</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罩光漆膜厚度为18μm，所用漆料中不含颜料，其余成分和底漆/面漆基本一致，调漆、喷漆、流平烘干工艺参数控制以及废气的收集处理方式相同，具体不再赘述。</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（5）钉头牌</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车架喷漆工序完成后，在车架表面固定位置钉上铭牌，该工段没有污染产生。</w:t>
      </w:r>
    </w:p>
    <w:p>
      <w:pPr>
        <w:spacing w:line="500" w:lineRule="exact"/>
        <w:outlineLvl w:val="3"/>
        <w:rPr>
          <w:rFonts w:ascii="Times New Roman" w:hAnsi="Times New Roman" w:cs="Times New Roman"/>
          <w:b/>
          <w:bCs/>
          <w:sz w:val="24"/>
        </w:rPr>
      </w:pPr>
      <w:r>
        <w:rPr>
          <w:rFonts w:hint="eastAsia" w:ascii="Times New Roman" w:hAnsi="Times New Roman" w:cs="Times New Roman"/>
          <w:b/>
          <w:bCs/>
          <w:sz w:val="24"/>
        </w:rPr>
        <w:t>3.5.1.3</w:t>
      </w:r>
      <w:r>
        <w:rPr>
          <w:rFonts w:ascii="Times New Roman" w:hAnsi="Times New Roman" w:cs="Times New Roman"/>
          <w:b/>
          <w:bCs/>
          <w:sz w:val="24"/>
        </w:rPr>
        <w:t>装配生产工艺</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本项目</w:t>
      </w:r>
      <w:r>
        <w:rPr>
          <w:rFonts w:hint="eastAsia" w:ascii="Times New Roman" w:hAnsi="Times New Roman" w:cs="Times New Roman"/>
          <w:sz w:val="24"/>
          <w:lang w:val="en-US" w:eastAsia="zh-CN"/>
        </w:rPr>
        <w:t>由于自行车种类增多，由原先设置的2</w:t>
      </w:r>
      <w:r>
        <w:rPr>
          <w:rFonts w:ascii="Times New Roman" w:hAnsi="Times New Roman" w:cs="Times New Roman"/>
          <w:sz w:val="24"/>
        </w:rPr>
        <w:t>条装配生产线</w:t>
      </w:r>
      <w:r>
        <w:rPr>
          <w:rFonts w:hint="eastAsia" w:ascii="Times New Roman" w:hAnsi="Times New Roman" w:cs="Times New Roman"/>
          <w:sz w:val="24"/>
          <w:lang w:val="en-US" w:eastAsia="zh-CN"/>
        </w:rPr>
        <w:t>增加到6条装配生产线</w:t>
      </w:r>
      <w:r>
        <w:rPr>
          <w:rFonts w:ascii="Times New Roman" w:hAnsi="Times New Roman" w:cs="Times New Roman"/>
          <w:sz w:val="24"/>
        </w:rPr>
        <w:t>。</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（1）车圈装配</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首先是人工将辐条编条、穿条，然后将穿好的辐条装入轮圈并通过锁紧机锁紧，经校正机校正后装轮胎；装胎工序结束后进行全检、上飞轮成为轮胎成品。该装配过程总不排放污染物，具体流程详见图</w:t>
      </w:r>
      <w:r>
        <w:rPr>
          <w:rFonts w:hint="eastAsia" w:ascii="Times New Roman" w:hAnsi="Times New Roman" w:cs="Times New Roman"/>
          <w:sz w:val="24"/>
        </w:rPr>
        <w:t>3-</w:t>
      </w:r>
      <w:r>
        <w:rPr>
          <w:rFonts w:hint="eastAsia" w:ascii="Times New Roman" w:hAnsi="Times New Roman" w:cs="Times New Roman"/>
          <w:sz w:val="24"/>
          <w:lang w:val="en-US" w:eastAsia="zh-CN"/>
        </w:rPr>
        <w:t>8</w:t>
      </w:r>
      <w:r>
        <w:rPr>
          <w:rFonts w:ascii="Times New Roman" w:hAnsi="Times New Roman" w:cs="Times New Roman"/>
          <w:sz w:val="24"/>
        </w:rPr>
        <w:t>。</w:t>
      </w:r>
    </w:p>
    <w:p>
      <w:pPr>
        <w:spacing w:line="500" w:lineRule="exact"/>
        <w:ind w:firstLine="420" w:firstLineChars="200"/>
      </w:pPr>
      <w:r>
        <mc:AlternateContent>
          <mc:Choice Requires="wpg">
            <w:drawing>
              <wp:anchor distT="0" distB="0" distL="114300" distR="114300" simplePos="0" relativeHeight="251702272" behindDoc="0" locked="0" layoutInCell="1" allowOverlap="1">
                <wp:simplePos x="0" y="0"/>
                <wp:positionH relativeFrom="column">
                  <wp:posOffset>1367155</wp:posOffset>
                </wp:positionH>
                <wp:positionV relativeFrom="paragraph">
                  <wp:posOffset>237490</wp:posOffset>
                </wp:positionV>
                <wp:extent cx="2173605" cy="3752215"/>
                <wp:effectExtent l="0" t="0" r="19050" b="0"/>
                <wp:wrapTopAndBottom/>
                <wp:docPr id="28" name="组合 54"/>
                <wp:cNvGraphicFramePr/>
                <a:graphic xmlns:a="http://schemas.openxmlformats.org/drawingml/2006/main">
                  <a:graphicData uri="http://schemas.microsoft.com/office/word/2010/wordprocessingGroup">
                    <wpg:wgp>
                      <wpg:cNvGrpSpPr/>
                      <wpg:grpSpPr>
                        <a:xfrm>
                          <a:off x="0" y="0"/>
                          <a:ext cx="2173605" cy="3752215"/>
                          <a:chOff x="0" y="0"/>
                          <a:chExt cx="2131607" cy="4917115"/>
                        </a:xfrm>
                      </wpg:grpSpPr>
                      <wps:wsp>
                        <wps:cNvPr id="5" name="文本框 952"/>
                        <wps:cNvSpPr txBox="1"/>
                        <wps:spPr>
                          <a:xfrm>
                            <a:off x="1169582" y="648586"/>
                            <a:ext cx="962025" cy="32385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编条、穿条</w:t>
                              </w:r>
                            </w:p>
                          </w:txbxContent>
                        </wps:txbx>
                        <wps:bodyPr upright="1"/>
                      </wps:wsp>
                      <wps:wsp>
                        <wps:cNvPr id="6" name="文本框 953"/>
                        <wps:cNvSpPr txBox="1"/>
                        <wps:spPr>
                          <a:xfrm>
                            <a:off x="1169582" y="0"/>
                            <a:ext cx="962025" cy="323850"/>
                          </a:xfrm>
                          <a:prstGeom prst="rect">
                            <a:avLst/>
                          </a:prstGeom>
                          <a:noFill/>
                          <a:ln w="6350">
                            <a:noFill/>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辐条</w:t>
                              </w:r>
                            </w:p>
                          </w:txbxContent>
                        </wps:txbx>
                        <wps:bodyPr upright="1"/>
                      </wps:wsp>
                      <wps:wsp>
                        <wps:cNvPr id="8" name="直接箭头连接符 954"/>
                        <wps:cNvCnPr/>
                        <wps:spPr>
                          <a:xfrm>
                            <a:off x="1648047" y="265814"/>
                            <a:ext cx="0" cy="333375"/>
                          </a:xfrm>
                          <a:prstGeom prst="straightConnector1">
                            <a:avLst/>
                          </a:prstGeom>
                          <a:ln w="9525" cap="flat" cmpd="sng">
                            <a:solidFill>
                              <a:srgbClr val="000001"/>
                            </a:solidFill>
                            <a:prstDash val="solid"/>
                            <a:headEnd type="none" w="med" len="med"/>
                            <a:tailEnd type="stealth" w="med" len="lg"/>
                          </a:ln>
                        </wps:spPr>
                        <wps:bodyPr/>
                      </wps:wsp>
                      <wps:wsp>
                        <wps:cNvPr id="9" name="直接箭头连接符 955"/>
                        <wps:cNvCnPr/>
                        <wps:spPr>
                          <a:xfrm>
                            <a:off x="1648047" y="978195"/>
                            <a:ext cx="0" cy="333375"/>
                          </a:xfrm>
                          <a:prstGeom prst="straightConnector1">
                            <a:avLst/>
                          </a:prstGeom>
                          <a:ln w="9525" cap="flat" cmpd="sng">
                            <a:solidFill>
                              <a:srgbClr val="000001"/>
                            </a:solidFill>
                            <a:prstDash val="solid"/>
                            <a:headEnd type="none" w="med" len="med"/>
                            <a:tailEnd type="stealth" w="med" len="lg"/>
                          </a:ln>
                        </wps:spPr>
                        <wps:bodyPr/>
                      </wps:wsp>
                      <wps:wsp>
                        <wps:cNvPr id="10" name="文本框 956"/>
                        <wps:cNvSpPr txBox="1"/>
                        <wps:spPr>
                          <a:xfrm>
                            <a:off x="1169582" y="1307804"/>
                            <a:ext cx="962025" cy="32385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辐条锁紧</w:t>
                              </w:r>
                            </w:p>
                          </w:txbxContent>
                        </wps:txbx>
                        <wps:bodyPr anchor="ctr" upright="1"/>
                      </wps:wsp>
                      <wps:wsp>
                        <wps:cNvPr id="11" name="直接箭头连接符 957"/>
                        <wps:cNvCnPr/>
                        <wps:spPr>
                          <a:xfrm>
                            <a:off x="1648047" y="1626781"/>
                            <a:ext cx="0" cy="333375"/>
                          </a:xfrm>
                          <a:prstGeom prst="straightConnector1">
                            <a:avLst/>
                          </a:prstGeom>
                          <a:ln w="9525" cap="flat" cmpd="sng">
                            <a:solidFill>
                              <a:srgbClr val="000001"/>
                            </a:solidFill>
                            <a:prstDash val="solid"/>
                            <a:headEnd type="none" w="med" len="med"/>
                            <a:tailEnd type="stealth" w="med" len="lg"/>
                          </a:ln>
                        </wps:spPr>
                        <wps:bodyPr/>
                      </wps:wsp>
                      <wps:wsp>
                        <wps:cNvPr id="13" name="文本框 958"/>
                        <wps:cNvSpPr txBox="1"/>
                        <wps:spPr>
                          <a:xfrm>
                            <a:off x="1169582" y="1967023"/>
                            <a:ext cx="962025" cy="32385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校正</w:t>
                              </w:r>
                            </w:p>
                          </w:txbxContent>
                        </wps:txbx>
                        <wps:bodyPr upright="1"/>
                      </wps:wsp>
                      <wps:wsp>
                        <wps:cNvPr id="14" name="直接箭头连接符 959"/>
                        <wps:cNvCnPr/>
                        <wps:spPr>
                          <a:xfrm>
                            <a:off x="1648047" y="2286000"/>
                            <a:ext cx="0" cy="333375"/>
                          </a:xfrm>
                          <a:prstGeom prst="straightConnector1">
                            <a:avLst/>
                          </a:prstGeom>
                          <a:ln w="9525" cap="flat" cmpd="sng">
                            <a:solidFill>
                              <a:srgbClr val="000001"/>
                            </a:solidFill>
                            <a:prstDash val="solid"/>
                            <a:headEnd type="none" w="med" len="med"/>
                            <a:tailEnd type="stealth" w="med" len="lg"/>
                          </a:ln>
                        </wps:spPr>
                        <wps:bodyPr/>
                      </wps:wsp>
                      <wps:wsp>
                        <wps:cNvPr id="15" name="文本框 810"/>
                        <wps:cNvSpPr txBox="1"/>
                        <wps:spPr>
                          <a:xfrm>
                            <a:off x="1169582" y="2626241"/>
                            <a:ext cx="962025" cy="32385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装胎</w:t>
                              </w:r>
                            </w:p>
                          </w:txbxContent>
                        </wps:txbx>
                        <wps:bodyPr upright="1"/>
                      </wps:wsp>
                      <wps:wsp>
                        <wps:cNvPr id="16" name="直接箭头连接符 960"/>
                        <wps:cNvCnPr/>
                        <wps:spPr>
                          <a:xfrm>
                            <a:off x="1648047" y="2945218"/>
                            <a:ext cx="0" cy="333375"/>
                          </a:xfrm>
                          <a:prstGeom prst="straightConnector1">
                            <a:avLst/>
                          </a:prstGeom>
                          <a:ln w="9525" cap="flat" cmpd="sng">
                            <a:solidFill>
                              <a:srgbClr val="000001"/>
                            </a:solidFill>
                            <a:prstDash val="solid"/>
                            <a:headEnd type="none" w="med" len="med"/>
                            <a:tailEnd type="stealth" w="med" len="lg"/>
                          </a:ln>
                        </wps:spPr>
                        <wps:bodyPr/>
                      </wps:wsp>
                      <wps:wsp>
                        <wps:cNvPr id="17" name="文本框 961"/>
                        <wps:cNvSpPr txBox="1"/>
                        <wps:spPr>
                          <a:xfrm>
                            <a:off x="1169582" y="3274827"/>
                            <a:ext cx="962025" cy="32385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全检</w:t>
                              </w:r>
                            </w:p>
                          </w:txbxContent>
                        </wps:txbx>
                        <wps:bodyPr upright="1"/>
                      </wps:wsp>
                      <wps:wsp>
                        <wps:cNvPr id="18" name="直接箭头连接符 962"/>
                        <wps:cNvCnPr/>
                        <wps:spPr>
                          <a:xfrm>
                            <a:off x="1648047" y="3604437"/>
                            <a:ext cx="0" cy="333375"/>
                          </a:xfrm>
                          <a:prstGeom prst="straightConnector1">
                            <a:avLst/>
                          </a:prstGeom>
                          <a:ln w="9525" cap="flat" cmpd="sng">
                            <a:solidFill>
                              <a:srgbClr val="000001"/>
                            </a:solidFill>
                            <a:prstDash val="solid"/>
                            <a:headEnd type="none" w="med" len="med"/>
                            <a:tailEnd type="stealth" w="med" len="lg"/>
                          </a:ln>
                        </wps:spPr>
                        <wps:bodyPr/>
                      </wps:wsp>
                      <wps:wsp>
                        <wps:cNvPr id="19" name="文本框 963"/>
                        <wps:cNvSpPr txBox="1"/>
                        <wps:spPr>
                          <a:xfrm>
                            <a:off x="1169582" y="3934046"/>
                            <a:ext cx="962025" cy="32385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上飞轮</w:t>
                              </w:r>
                            </w:p>
                          </w:txbxContent>
                        </wps:txbx>
                        <wps:bodyPr upright="1"/>
                      </wps:wsp>
                      <wps:wsp>
                        <wps:cNvPr id="20" name="直接箭头连接符 964"/>
                        <wps:cNvCnPr/>
                        <wps:spPr>
                          <a:xfrm>
                            <a:off x="1648047" y="4263655"/>
                            <a:ext cx="0" cy="333375"/>
                          </a:xfrm>
                          <a:prstGeom prst="straightConnector1">
                            <a:avLst/>
                          </a:prstGeom>
                          <a:ln w="9525" cap="flat" cmpd="sng">
                            <a:solidFill>
                              <a:srgbClr val="000001"/>
                            </a:solidFill>
                            <a:prstDash val="solid"/>
                            <a:headEnd type="none" w="med" len="med"/>
                            <a:tailEnd type="stealth" w="med" len="lg"/>
                          </a:ln>
                        </wps:spPr>
                        <wps:bodyPr/>
                      </wps:wsp>
                      <wps:wsp>
                        <wps:cNvPr id="21" name="文本框 965"/>
                        <wps:cNvSpPr txBox="1"/>
                        <wps:spPr>
                          <a:xfrm>
                            <a:off x="1169582" y="4593265"/>
                            <a:ext cx="962025" cy="323850"/>
                          </a:xfrm>
                          <a:prstGeom prst="rect">
                            <a:avLst/>
                          </a:prstGeom>
                          <a:noFill/>
                          <a:ln w="6350">
                            <a:noFill/>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车圈成品</w:t>
                              </w:r>
                            </w:p>
                          </w:txbxContent>
                        </wps:txbx>
                        <wps:bodyPr upright="1"/>
                      </wps:wsp>
                      <wps:wsp>
                        <wps:cNvPr id="22" name="直接箭头连接符 967"/>
                        <wps:cNvCnPr/>
                        <wps:spPr>
                          <a:xfrm>
                            <a:off x="637954" y="1456660"/>
                            <a:ext cx="533400" cy="0"/>
                          </a:xfrm>
                          <a:prstGeom prst="straightConnector1">
                            <a:avLst/>
                          </a:prstGeom>
                          <a:ln w="9525" cap="flat" cmpd="sng">
                            <a:solidFill>
                              <a:srgbClr val="000001"/>
                            </a:solidFill>
                            <a:prstDash val="solid"/>
                            <a:headEnd type="none" w="med" len="med"/>
                            <a:tailEnd type="stealth" w="med" len="lg"/>
                          </a:ln>
                        </wps:spPr>
                        <wps:bodyPr/>
                      </wps:wsp>
                      <wps:wsp>
                        <wps:cNvPr id="23" name="文本框 968"/>
                        <wps:cNvSpPr txBox="1"/>
                        <wps:spPr>
                          <a:xfrm>
                            <a:off x="0" y="1307804"/>
                            <a:ext cx="638175" cy="323850"/>
                          </a:xfrm>
                          <a:prstGeom prst="rect">
                            <a:avLst/>
                          </a:prstGeom>
                          <a:noFill/>
                          <a:ln w="6350">
                            <a:noFill/>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轮圈</w:t>
                              </w:r>
                            </w:p>
                          </w:txbxContent>
                        </wps:txbx>
                        <wps:bodyPr upright="1"/>
                      </wps:wsp>
                      <wps:wsp>
                        <wps:cNvPr id="24" name="直接箭头连接符 998"/>
                        <wps:cNvCnPr/>
                        <wps:spPr>
                          <a:xfrm>
                            <a:off x="637954" y="2785730"/>
                            <a:ext cx="533400" cy="0"/>
                          </a:xfrm>
                          <a:prstGeom prst="straightConnector1">
                            <a:avLst/>
                          </a:prstGeom>
                          <a:ln w="9525" cap="flat" cmpd="sng">
                            <a:solidFill>
                              <a:srgbClr val="000001"/>
                            </a:solidFill>
                            <a:prstDash val="solid"/>
                            <a:headEnd type="none" w="med" len="med"/>
                            <a:tailEnd type="stealth" w="med" len="lg"/>
                          </a:ln>
                        </wps:spPr>
                        <wps:bodyPr/>
                      </wps:wsp>
                      <wps:wsp>
                        <wps:cNvPr id="25" name="文本框 999"/>
                        <wps:cNvSpPr txBox="1"/>
                        <wps:spPr>
                          <a:xfrm>
                            <a:off x="0" y="2626241"/>
                            <a:ext cx="638175" cy="323850"/>
                          </a:xfrm>
                          <a:prstGeom prst="rect">
                            <a:avLst/>
                          </a:prstGeom>
                          <a:noFill/>
                          <a:ln w="6350">
                            <a:noFill/>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轮胎</w:t>
                              </w:r>
                            </w:p>
                          </w:txbxContent>
                        </wps:txbx>
                        <wps:bodyPr upright="1"/>
                      </wps:wsp>
                      <wps:wsp>
                        <wps:cNvPr id="26" name="直接箭头连接符 1000"/>
                        <wps:cNvCnPr/>
                        <wps:spPr>
                          <a:xfrm>
                            <a:off x="637954" y="4104167"/>
                            <a:ext cx="533400" cy="0"/>
                          </a:xfrm>
                          <a:prstGeom prst="straightConnector1">
                            <a:avLst/>
                          </a:prstGeom>
                          <a:ln w="9525" cap="flat" cmpd="sng">
                            <a:solidFill>
                              <a:srgbClr val="000001"/>
                            </a:solidFill>
                            <a:prstDash val="solid"/>
                            <a:headEnd type="none" w="med" len="med"/>
                            <a:tailEnd type="stealth" w="med" len="lg"/>
                          </a:ln>
                        </wps:spPr>
                        <wps:bodyPr/>
                      </wps:wsp>
                      <wps:wsp>
                        <wps:cNvPr id="27" name="文本框 1001"/>
                        <wps:cNvSpPr txBox="1"/>
                        <wps:spPr>
                          <a:xfrm>
                            <a:off x="0" y="3934046"/>
                            <a:ext cx="638175" cy="323850"/>
                          </a:xfrm>
                          <a:prstGeom prst="rect">
                            <a:avLst/>
                          </a:prstGeom>
                          <a:noFill/>
                          <a:ln w="6350">
                            <a:noFill/>
                          </a:ln>
                        </wps:spPr>
                        <wps:txb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飞轮</w:t>
                              </w:r>
                            </w:p>
                          </w:txbxContent>
                        </wps:txbx>
                        <wps:bodyPr upright="1"/>
                      </wps:wsp>
                    </wpg:wgp>
                  </a:graphicData>
                </a:graphic>
              </wp:anchor>
            </w:drawing>
          </mc:Choice>
          <mc:Fallback>
            <w:pict>
              <v:group id="组合 54" o:spid="_x0000_s1026" o:spt="203" style="position:absolute;left:0pt;margin-left:107.65pt;margin-top:18.7pt;height:295.45pt;width:171.15pt;mso-wrap-distance-bottom:0pt;mso-wrap-distance-top:0pt;z-index:251702272;mso-width-relative:page;mso-height-relative:page;" coordsize="2131607,4917115" o:gfxdata="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">
                <o:lock v:ext="edit" aspectratio="f"/>
                <v:shape id="文本框 952" o:spid="_x0000_s1026" o:spt="202" type="#_x0000_t202" style="position:absolute;left:1169582;top:648586;height:323850;width:962025;" fillcolor="#FFFFFF" filled="t" stroked="t" coordsize="21600,21600" o:gfxdata="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kZrmu2AAAA2gAAAA8A&#10;AAAAAAAAAQAgAAAAIgAAAGRycy9kb3ducmV2LnhtbFBLAQIUABQAAAAIAIdO4kAzLwWeOwAAADkA&#10;AAAQAAAAAAAAAAEAIAAAAAUBAABkcnMvc2hhcGV4bWwueG1sUEsFBgAAAAAGAAYAWwEAAK8DAAAA&#10;AA==&#10;">
                  <v:fill on="t" focussize="0,0"/>
                  <v:stroke weight="0.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编条、穿条</w:t>
                        </w:r>
                      </w:p>
                    </w:txbxContent>
                  </v:textbox>
                </v:shape>
                <v:shape id="文本框 953" o:spid="_x0000_s1026" o:spt="202" type="#_x0000_t202" style="position:absolute;left:1169582;top:0;height:323850;width:962025;"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辐条</w:t>
                        </w:r>
                      </w:p>
                    </w:txbxContent>
                  </v:textbox>
                </v:shape>
                <v:shape id="直接箭头连接符 954" o:spid="_x0000_s1026" o:spt="32" type="#_x0000_t32" style="position:absolute;left:1648047;top:265814;height:333375;width:0;" filled="f" stroked="t" coordsize="21600,21600" o:gfxdata="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RyQlLgAAADaAAAA&#10;DwAAAAAAAAABACAAAAAiAAAAZHJzL2Rvd25yZXYueG1sUEsBAhQAFAAAAAgAh07iQDMvBZ47AAAA&#10;OQAAABAAAAAAAAAAAQAgAAAABwEAAGRycy9zaGFwZXhtbC54bWxQSwUGAAAAAAYABgBbAQAAsQMA&#10;AAAA&#10;">
                  <v:fill on="f" focussize="0,0"/>
                  <v:stroke color="#000001" joinstyle="round" endarrow="classic" endarrowlength="long"/>
                  <v:imagedata o:title=""/>
                  <o:lock v:ext="edit" aspectratio="f"/>
                </v:shape>
                <v:shape id="直接箭头连接符 955" o:spid="_x0000_s1026" o:spt="32" type="#_x0000_t32" style="position:absolute;left:1648047;top:978195;height:333375;width:0;" filled="f" stroked="t" coordsize="21600,21600" o:gfxdata="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lA1D7sAAADa&#10;AAAADwAAAAAAAAABACAAAAAiAAAAZHJzL2Rvd25yZXYueG1sUEsBAhQAFAAAAAgAh07iQDMvBZ47&#10;AAAAOQAAABAAAAAAAAAAAQAgAAAACgEAAGRycy9zaGFwZXhtbC54bWxQSwUGAAAAAAYABgBbAQAA&#10;tAMAAAAA&#10;">
                  <v:fill on="f" focussize="0,0"/>
                  <v:stroke color="#000001" joinstyle="round" endarrow="classic" endarrowlength="long"/>
                  <v:imagedata o:title=""/>
                  <o:lock v:ext="edit" aspectratio="f"/>
                </v:shape>
                <v:shape id="文本框 956" o:spid="_x0000_s1026" o:spt="202" type="#_x0000_t202" style="position:absolute;left:1169582;top:1307804;height:323850;width:962025;v-text-anchor:middle;" fillcolor="#FFFFFF" filled="t" stroked="t" coordsize="21600,21600" o:gfxdata="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LOGavQAA&#10;ANs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辐条锁紧</w:t>
                        </w:r>
                      </w:p>
                    </w:txbxContent>
                  </v:textbox>
                </v:shape>
                <v:shape id="直接箭头连接符 957" o:spid="_x0000_s1026" o:spt="32" type="#_x0000_t32" style="position:absolute;left:1648047;top:1626781;height:333375;width:0;" filled="f" stroked="t" coordsize="21600,21600" o:gfxdata="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VlTG8AAAA&#10;2wAAAA8AAAAAAAAAAQAgAAAAIgAAAGRycy9kb3ducmV2LnhtbFBLAQIUABQAAAAIAIdO4kAzLwWe&#10;OwAAADkAAAAQAAAAAAAAAAEAIAAAAAsBAABkcnMvc2hhcGV4bWwueG1sUEsFBgAAAAAGAAYAWwEA&#10;ALUDAAAAAA==&#10;">
                  <v:fill on="f" focussize="0,0"/>
                  <v:stroke color="#000001" joinstyle="round" endarrow="classic" endarrowlength="long"/>
                  <v:imagedata o:title=""/>
                  <o:lock v:ext="edit" aspectratio="f"/>
                </v:shape>
                <v:shape id="文本框 958" o:spid="_x0000_s1026" o:spt="202" type="#_x0000_t202" style="position:absolute;left:1169582;top:1967023;height:323850;width:962025;" fillcolor="#FFFFFF" filled="t" stroked="t" coordsize="21600,21600" o:gfxdata="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MJhxRtAAAANsAAAAPAAAA&#10;AAAAAAEAIAAAACIAAABkcnMvZG93bnJldi54bWxQSwECFAAUAAAACACHTuJAMy8FnjsAAAA5AAAA&#10;EAAAAAAAAAABACAAAAADAQAAZHJzL3NoYXBleG1sLnhtbFBLBQYAAAAABgAGAFsBAACtAwAAAAA=&#10;">
                  <v:fill on="t" focussize="0,0"/>
                  <v:stroke weight="0.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校正</w:t>
                        </w:r>
                      </w:p>
                    </w:txbxContent>
                  </v:textbox>
                </v:shape>
                <v:shape id="直接箭头连接符 959" o:spid="_x0000_s1026" o:spt="32" type="#_x0000_t32" style="position:absolute;left:1648047;top:2286000;height:333375;width:0;" filled="f" stroked="t" coordsize="21600,21600" o:gfxdata="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iNqm8AAAA&#10;2wAAAA8AAAAAAAAAAQAgAAAAIgAAAGRycy9kb3ducmV2LnhtbFBLAQIUABQAAAAIAIdO4kAzLwWe&#10;OwAAADkAAAAQAAAAAAAAAAEAIAAAAAsBAABkcnMvc2hhcGV4bWwueG1sUEsFBgAAAAAGAAYAWwEA&#10;ALUDAAAAAA==&#10;">
                  <v:fill on="f" focussize="0,0"/>
                  <v:stroke color="#000001" joinstyle="round" endarrow="classic" endarrowlength="long"/>
                  <v:imagedata o:title=""/>
                  <o:lock v:ext="edit" aspectratio="f"/>
                </v:shape>
                <v:shape id="文本框 810" o:spid="_x0000_s1026" o:spt="202" type="#_x0000_t202" style="position:absolute;left:1169582;top:2626241;height:323850;width:962025;" fillcolor="#FFFFFF" filled="t" stroked="t" coordsize="21600,21600" o:gfxdata="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7IMhvrUAAADbAAAADwAA&#10;AAAAAAABACAAAAAiAAAAZHJzL2Rvd25yZXYueG1sUEsBAhQAFAAAAAgAh07iQDMvBZ47AAAAOQAA&#10;ABAAAAAAAAAAAQAgAAAABAEAAGRycy9zaGFwZXhtbC54bWxQSwUGAAAAAAYABgBbAQAArgMAAAAA&#10;">
                  <v:fill on="t" focussize="0,0"/>
                  <v:stroke weight="0.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装胎</w:t>
                        </w:r>
                      </w:p>
                    </w:txbxContent>
                  </v:textbox>
                </v:shape>
                <v:shape id="直接箭头连接符 960" o:spid="_x0000_s1026" o:spt="32" type="#_x0000_t32" style="position:absolute;left:1648047;top:2945218;height:333375;width:0;" filled="f" stroked="t" coordsize="21600,21600" o:gfxdata="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8DUW8AAAA&#10;2wAAAA8AAAAAAAAAAQAgAAAAIgAAAGRycy9kb3ducmV2LnhtbFBLAQIUABQAAAAIAIdO4kAzLwWe&#10;OwAAADkAAAAQAAAAAAAAAAEAIAAAAAsBAABkcnMvc2hhcGV4bWwueG1sUEsFBgAAAAAGAAYAWwEA&#10;ALUDAAAAAA==&#10;">
                  <v:fill on="f" focussize="0,0"/>
                  <v:stroke color="#000001" joinstyle="round" endarrow="classic" endarrowlength="long"/>
                  <v:imagedata o:title=""/>
                  <o:lock v:ext="edit" aspectratio="f"/>
                </v:shape>
                <v:shape id="文本框 961" o:spid="_x0000_s1026" o:spt="202" type="#_x0000_t202" style="position:absolute;left:1169582;top:3274827;height:323850;width:962025;" fillcolor="#FFFFFF" filled="t" stroked="t" coordsize="21600,21600" o:gfxdata="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cx0aUrUAAADbAAAADwAA&#10;AAAAAAABACAAAAAiAAAAZHJzL2Rvd25yZXYueG1sUEsBAhQAFAAAAAgAh07iQDMvBZ47AAAAOQAA&#10;ABAAAAAAAAAAAQAgAAAABAEAAGRycy9zaGFwZXhtbC54bWxQSwUGAAAAAAYABgBbAQAArgMAAAAA&#10;">
                  <v:fill on="t" focussize="0,0"/>
                  <v:stroke weight="0.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全检</w:t>
                        </w:r>
                      </w:p>
                    </w:txbxContent>
                  </v:textbox>
                </v:shape>
                <v:shape id="直接箭头连接符 962" o:spid="_x0000_s1026" o:spt="32" type="#_x0000_t32" style="position:absolute;left:1648047;top:3604437;height:333375;width:0;" filled="f" stroked="t" coordsize="21600,21600" o:gfxdata="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W88rLsAAADb&#10;AAAADwAAAAAAAAABACAAAAAiAAAAZHJzL2Rvd25yZXYueG1sUEsBAhQAFAAAAAgAh07iQDMvBZ47&#10;AAAAOQAAABAAAAAAAAAAAQAgAAAACgEAAGRycy9zaGFwZXhtbC54bWxQSwUGAAAAAAYABgBbAQAA&#10;tAMAAAAA&#10;">
                  <v:fill on="f" focussize="0,0"/>
                  <v:stroke color="#000001" joinstyle="round" endarrow="classic" endarrowlength="long"/>
                  <v:imagedata o:title=""/>
                  <o:lock v:ext="edit" aspectratio="f"/>
                </v:shape>
                <v:shape id="文本框 963" o:spid="_x0000_s1026" o:spt="202" type="#_x0000_t202" style="position:absolute;left:1169582;top:3934046;height:323850;width:962025;" fillcolor="#FFFFFF" filled="t" stroked="t" coordsize="21600,21600" o:gfxdata="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bc4ru7UAAADbAAAADwAA&#10;AAAAAAABACAAAAAiAAAAZHJzL2Rvd25yZXYueG1sUEsBAhQAFAAAAAgAh07iQDMvBZ47AAAAOQAA&#10;ABAAAAAAAAAAAQAgAAAABAEAAGRycy9zaGFwZXhtbC54bWxQSwUGAAAAAAYABgBbAQAArgMAAAAA&#10;">
                  <v:fill on="t" focussize="0,0"/>
                  <v:stroke weight="0.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上飞轮</w:t>
                        </w:r>
                      </w:p>
                    </w:txbxContent>
                  </v:textbox>
                </v:shape>
                <v:shape id="直接箭头连接符 964" o:spid="_x0000_s1026" o:spt="32" type="#_x0000_t32" style="position:absolute;left:1648047;top:4263655;height:333375;width:0;" filled="f" stroked="t" coordsize="21600,21600" o:gfxdata="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V1+he5AAAA2wAA&#10;AA8AAAAAAAAAAQAgAAAAIgAAAGRycy9kb3ducmV2LnhtbFBLAQIUABQAAAAIAIdO4kAzLwWeOwAA&#10;ADkAAAAQAAAAAAAAAAEAIAAAAAgBAABkcnMvc2hhcGV4bWwueG1sUEsFBgAAAAAGAAYAWwEAALID&#10;AAAAAA==&#10;">
                  <v:fill on="f" focussize="0,0"/>
                  <v:stroke color="#000001" joinstyle="round" endarrow="classic" endarrowlength="long"/>
                  <v:imagedata o:title=""/>
                  <o:lock v:ext="edit" aspectratio="f"/>
                </v:shape>
                <v:shape id="文本框 965" o:spid="_x0000_s1026" o:spt="202" type="#_x0000_t202" style="position:absolute;left:1169582;top:4593265;height:323850;width:962025;" filled="f" stroked="f" coordsize="21600,21600" o:gfxdata="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BCam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车圈成品</w:t>
                        </w:r>
                      </w:p>
                    </w:txbxContent>
                  </v:textbox>
                </v:shape>
                <v:shape id="直接箭头连接符 967" o:spid="_x0000_s1026" o:spt="32" type="#_x0000_t32" style="position:absolute;left:637954;top:1456660;height:0;width:533400;" filled="f" stroked="t" coordsize="21600,21600" o:gfxdata="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uvB+7sAAADb&#10;AAAADwAAAAAAAAABACAAAAAiAAAAZHJzL2Rvd25yZXYueG1sUEsBAhQAFAAAAAgAh07iQDMvBZ47&#10;AAAAOQAAABAAAAAAAAAAAQAgAAAACgEAAGRycy9zaGFwZXhtbC54bWxQSwUGAAAAAAYABgBbAQAA&#10;tAMAAAAA&#10;">
                  <v:fill on="f" focussize="0,0"/>
                  <v:stroke color="#000001" joinstyle="round" endarrow="classic" endarrowlength="long"/>
                  <v:imagedata o:title=""/>
                  <o:lock v:ext="edit" aspectratio="f"/>
                </v:shape>
                <v:shape id="文本框 968" o:spid="_x0000_s1026" o:spt="202" type="#_x0000_t202" style="position:absolute;left:0;top:1307804;height:323850;width:638175;" filled="f" stroked="f" coordsize="21600,21600" o:gfxdata="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odS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轮圈</w:t>
                        </w:r>
                      </w:p>
                    </w:txbxContent>
                  </v:textbox>
                </v:shape>
                <v:shape id="直接箭头连接符 998" o:spid="_x0000_s1026" o:spt="32" type="#_x0000_t32" style="position:absolute;left:637954;top:2785730;height:0;width:533400;" filled="f" stroked="t" coordsize="21600,21600" o:gfxdata="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O/BS8AAAA&#10;2wAAAA8AAAAAAAAAAQAgAAAAIgAAAGRycy9kb3ducmV2LnhtbFBLAQIUABQAAAAIAIdO4kAzLwWe&#10;OwAAADkAAAAQAAAAAAAAAAEAIAAAAAsBAABkcnMvc2hhcGV4bWwueG1sUEsFBgAAAAAGAAYAWwEA&#10;ALUDAAAAAA==&#10;">
                  <v:fill on="f" focussize="0,0"/>
                  <v:stroke color="#000001" joinstyle="round" endarrow="classic" endarrowlength="long"/>
                  <v:imagedata o:title=""/>
                  <o:lock v:ext="edit" aspectratio="f"/>
                </v:shape>
                <v:shape id="文本框 999" o:spid="_x0000_s1026" o:spt="202" type="#_x0000_t202" style="position:absolute;left:0;top:2626241;height:323850;width:638175;" filled="f" stroked="f" coordsize="21600,21600" o:gfxdata="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8gp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轮胎</w:t>
                        </w:r>
                      </w:p>
                    </w:txbxContent>
                  </v:textbox>
                </v:shape>
                <v:shape id="直接箭头连接符 1000" o:spid="_x0000_s1026" o:spt="32" type="#_x0000_t32" style="position:absolute;left:637954;top:4104167;height:0;width:533400;" filled="f" stroked="t" coordsize="21600,21600" o:gfxdata="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XQx/i8AAAA&#10;2wAAAA8AAAAAAAAAAQAgAAAAIgAAAGRycy9kb3ducmV2LnhtbFBLAQIUABQAAAAIAIdO4kAzLwWe&#10;OwAAADkAAAAQAAAAAAAAAAEAIAAAAAsBAABkcnMvc2hhcGV4bWwueG1sUEsFBgAAAAAGAAYAWwEA&#10;ALUDAAAAAA==&#10;">
                  <v:fill on="f" focussize="0,0"/>
                  <v:stroke color="#000001" joinstyle="round" endarrow="classic" endarrowlength="long"/>
                  <v:imagedata o:title=""/>
                  <o:lock v:ext="edit" aspectratio="f"/>
                </v:shape>
                <v:shape id="文本框 1001" o:spid="_x0000_s1026" o:spt="202" type="#_x0000_t202" style="position:absolute;left:0;top:3934046;height:323850;width:638175;" filled="f" stroked="f" coordsize="21600,21600" o:gfxdata="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EbS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eastAsia="仿宋_GB2312"/>
                            <w:sz w:val="24"/>
                          </w:rPr>
                        </w:pPr>
                        <w:r>
                          <w:rPr>
                            <w:rFonts w:hint="eastAsia" w:ascii="仿宋_GB2312" w:eastAsia="仿宋_GB2312"/>
                            <w:sz w:val="24"/>
                          </w:rPr>
                          <w:t>飞轮</w:t>
                        </w:r>
                      </w:p>
                    </w:txbxContent>
                  </v:textbox>
                </v:shape>
                <w10:wrap type="topAndBottom"/>
              </v:group>
            </w:pict>
          </mc:Fallback>
        </mc:AlternateContent>
      </w:r>
    </w:p>
    <w:p>
      <w:pPr>
        <w:pStyle w:val="7"/>
        <w:spacing w:before="60" w:after="60"/>
        <w:jc w:val="center"/>
        <w:rPr>
          <w:rFonts w:ascii="Times New Roman" w:hAnsi="Times New Roman" w:cs="Times New Roman"/>
          <w:b/>
          <w:bCs/>
          <w:sz w:val="24"/>
        </w:rPr>
      </w:pPr>
      <w:r>
        <w:t>图</w:t>
      </w:r>
      <w:r>
        <w:rPr>
          <w:rFonts w:hint="eastAsia"/>
          <w:lang w:eastAsia="zh-CN"/>
        </w:rPr>
        <w:t>3-</w:t>
      </w:r>
      <w:r>
        <w:rPr>
          <w:rFonts w:hint="eastAsia"/>
          <w:lang w:val="en-US" w:eastAsia="zh-CN"/>
        </w:rPr>
        <w:t>8</w:t>
      </w:r>
      <w:r>
        <w:rPr>
          <w:rFonts w:hint="eastAsia"/>
          <w:lang w:eastAsia="zh-CN"/>
        </w:rPr>
        <w:t xml:space="preserve">  车圈装配生产线工艺流程图</w:t>
      </w:r>
    </w:p>
    <w:p>
      <w:pPr>
        <w:jc w:val="left"/>
      </w:pPr>
    </w:p>
    <w:p/>
    <w:p>
      <w:pPr>
        <w:tabs>
          <w:tab w:val="left" w:pos="4768"/>
        </w:tabs>
        <w:jc w:val="left"/>
        <w:sectPr>
          <w:pgSz w:w="11906" w:h="16838"/>
          <w:pgMar w:top="1440" w:right="1800" w:bottom="1440" w:left="1800" w:header="851" w:footer="992" w:gutter="0"/>
          <w:cols w:space="425" w:num="1"/>
          <w:docGrid w:type="lines" w:linePitch="312" w:charSpace="0"/>
        </w:sectPr>
      </w:pPr>
      <w:r>
        <w:rPr>
          <w:rFonts w:hint="eastAsia"/>
        </w:rPr>
        <w:tab/>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（2）整车装配</w:t>
      </w:r>
    </w:p>
    <w:p>
      <w:pPr>
        <w:spacing w:line="500" w:lineRule="exact"/>
        <w:ind w:firstLine="480" w:firstLineChars="200"/>
        <w:rPr>
          <w:rFonts w:ascii="Times New Roman" w:hAnsi="Times New Roman" w:cs="Times New Roman"/>
          <w:sz w:val="24"/>
        </w:rPr>
      </w:pPr>
      <w:r>
        <w:rPr>
          <w:rFonts w:ascii="Times New Roman" w:hAnsi="Times New Roman" w:cs="Times New Roman"/>
          <w:sz w:val="24"/>
        </w:rPr>
        <w:t>涂装合格的车架在工位上压头管、打中轴，然后依次在流水线上前叉、衣架、刮泥板、齿盘、链条、轮圈、刹车和车把、车座等零部件，检验合格后包装入库。该装配过程不排放污染物，具体流程详见图</w:t>
      </w:r>
      <w:r>
        <w:rPr>
          <w:rFonts w:hint="eastAsia" w:ascii="Times New Roman" w:hAnsi="Times New Roman" w:cs="Times New Roman"/>
          <w:sz w:val="24"/>
        </w:rPr>
        <w:t>3-</w:t>
      </w:r>
      <w:r>
        <w:rPr>
          <w:rFonts w:hint="eastAsia" w:ascii="Times New Roman" w:hAnsi="Times New Roman" w:cs="Times New Roman"/>
          <w:sz w:val="24"/>
          <w:lang w:val="en-US" w:eastAsia="zh-CN"/>
        </w:rPr>
        <w:t>9</w:t>
      </w:r>
      <w:r>
        <w:rPr>
          <w:rFonts w:ascii="Times New Roman" w:hAnsi="Times New Roman" w:cs="Times New Roman"/>
          <w:sz w:val="24"/>
        </w:rPr>
        <w:t>。</w:t>
      </w:r>
    </w:p>
    <w:p>
      <w:r>
        <mc:AlternateContent>
          <mc:Choice Requires="wpg">
            <w:drawing>
              <wp:anchor distT="0" distB="0" distL="114300" distR="114300" simplePos="0" relativeHeight="251703296" behindDoc="0" locked="0" layoutInCell="1" allowOverlap="1">
                <wp:simplePos x="0" y="0"/>
                <wp:positionH relativeFrom="column">
                  <wp:posOffset>1090930</wp:posOffset>
                </wp:positionH>
                <wp:positionV relativeFrom="paragraph">
                  <wp:posOffset>53340</wp:posOffset>
                </wp:positionV>
                <wp:extent cx="2915920" cy="5891530"/>
                <wp:effectExtent l="0" t="0" r="20320" b="0"/>
                <wp:wrapNone/>
                <wp:docPr id="77" name="组合 55"/>
                <wp:cNvGraphicFramePr/>
                <a:graphic xmlns:a="http://schemas.openxmlformats.org/drawingml/2006/main">
                  <a:graphicData uri="http://schemas.microsoft.com/office/word/2010/wordprocessingGroup">
                    <wpg:wgp>
                      <wpg:cNvGrpSpPr/>
                      <wpg:grpSpPr>
                        <a:xfrm>
                          <a:off x="0" y="0"/>
                          <a:ext cx="2915920" cy="5891530"/>
                          <a:chOff x="0" y="0"/>
                          <a:chExt cx="2865697" cy="6937227"/>
                        </a:xfrm>
                      </wpg:grpSpPr>
                      <wps:wsp>
                        <wps:cNvPr id="30" name="文本框 969"/>
                        <wps:cNvSpPr txBox="1"/>
                        <wps:spPr>
                          <a:xfrm>
                            <a:off x="1733107" y="0"/>
                            <a:ext cx="96202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车架</w:t>
                              </w:r>
                            </w:p>
                          </w:txbxContent>
                        </wps:txbx>
                        <wps:bodyPr vert="horz" anchor="t" upright="1"/>
                      </wps:wsp>
                      <wps:wsp>
                        <wps:cNvPr id="31" name="直接箭头连接符 970"/>
                        <wps:cNvCnPr/>
                        <wps:spPr>
                          <a:xfrm>
                            <a:off x="2211572" y="329609"/>
                            <a:ext cx="0" cy="333375"/>
                          </a:xfrm>
                          <a:prstGeom prst="straightConnector1">
                            <a:avLst/>
                          </a:prstGeom>
                          <a:ln w="9525" cap="flat" cmpd="sng">
                            <a:solidFill>
                              <a:srgbClr val="000000"/>
                            </a:solidFill>
                            <a:prstDash val="solid"/>
                            <a:headEnd type="none" w="med" len="med"/>
                            <a:tailEnd type="stealth" w="med" len="lg"/>
                          </a:ln>
                        </wps:spPr>
                        <wps:bodyPr/>
                      </wps:wsp>
                      <wps:wsp>
                        <wps:cNvPr id="36" name="文本框 971"/>
                        <wps:cNvSpPr txBox="1"/>
                        <wps:spPr>
                          <a:xfrm>
                            <a:off x="1541721" y="669851"/>
                            <a:ext cx="1323976"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压头管、打中轴</w:t>
                              </w:r>
                            </w:p>
                          </w:txbxContent>
                        </wps:txbx>
                        <wps:bodyPr vert="horz" anchor="t" upright="1"/>
                      </wps:wsp>
                      <wps:wsp>
                        <wps:cNvPr id="38" name="直接箭头连接符 972"/>
                        <wps:cNvCnPr/>
                        <wps:spPr>
                          <a:xfrm>
                            <a:off x="2211572" y="999461"/>
                            <a:ext cx="0" cy="333375"/>
                          </a:xfrm>
                          <a:prstGeom prst="straightConnector1">
                            <a:avLst/>
                          </a:prstGeom>
                          <a:ln w="9525" cap="flat" cmpd="sng">
                            <a:solidFill>
                              <a:srgbClr val="000000"/>
                            </a:solidFill>
                            <a:prstDash val="solid"/>
                            <a:headEnd type="none" w="med" len="med"/>
                            <a:tailEnd type="stealth" w="med" len="lg"/>
                          </a:ln>
                        </wps:spPr>
                        <wps:bodyPr/>
                      </wps:wsp>
                      <wps:wsp>
                        <wps:cNvPr id="43" name="文本框 973"/>
                        <wps:cNvSpPr txBox="1"/>
                        <wps:spPr>
                          <a:xfrm>
                            <a:off x="1733107" y="1329070"/>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上前叉</w:t>
                              </w:r>
                            </w:p>
                          </w:txbxContent>
                        </wps:txbx>
                        <wps:bodyPr vert="horz" anchor="t" upright="1"/>
                      </wps:wsp>
                      <wps:wsp>
                        <wps:cNvPr id="44" name="直接箭头连接符 974"/>
                        <wps:cNvCnPr/>
                        <wps:spPr>
                          <a:xfrm>
                            <a:off x="2211572" y="1648047"/>
                            <a:ext cx="0" cy="333375"/>
                          </a:xfrm>
                          <a:prstGeom prst="straightConnector1">
                            <a:avLst/>
                          </a:prstGeom>
                          <a:ln w="9525" cap="flat" cmpd="sng">
                            <a:solidFill>
                              <a:srgbClr val="000000"/>
                            </a:solidFill>
                            <a:prstDash val="solid"/>
                            <a:headEnd type="none" w="med" len="med"/>
                            <a:tailEnd type="stealth" w="med" len="lg"/>
                          </a:ln>
                        </wps:spPr>
                        <wps:bodyPr/>
                      </wps:wsp>
                      <wps:wsp>
                        <wps:cNvPr id="46" name="文本框 975"/>
                        <wps:cNvSpPr txBox="1"/>
                        <wps:spPr>
                          <a:xfrm>
                            <a:off x="1733107" y="1988289"/>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hint="eastAsia" w:ascii="仿宋_GB2312" w:eastAsia="仿宋_GB2312"/>
                                  <w:sz w:val="24"/>
                                  <w:lang w:eastAsia="zh-CN"/>
                                </w:rPr>
                              </w:pPr>
                              <w:r>
                                <w:rPr>
                                  <w:rFonts w:hint="eastAsia" w:ascii="仿宋_GB2312" w:eastAsia="仿宋_GB2312"/>
                                  <w:sz w:val="24"/>
                                </w:rPr>
                                <w:t>衣架</w:t>
                              </w:r>
                              <w:r>
                                <w:rPr>
                                  <w:rFonts w:hint="eastAsia" w:ascii="仿宋_GB2312" w:eastAsia="仿宋_GB2312"/>
                                  <w:sz w:val="24"/>
                                  <w:lang w:eastAsia="zh-CN"/>
                                </w:rPr>
                                <w:t>装配</w:t>
                              </w:r>
                            </w:p>
                          </w:txbxContent>
                        </wps:txbx>
                        <wps:bodyPr vert="horz" anchor="t" upright="1"/>
                      </wps:wsp>
                      <wps:wsp>
                        <wps:cNvPr id="47" name="直接箭头连接符 976"/>
                        <wps:cNvCnPr/>
                        <wps:spPr>
                          <a:xfrm>
                            <a:off x="2211572" y="2307265"/>
                            <a:ext cx="0" cy="333375"/>
                          </a:xfrm>
                          <a:prstGeom prst="straightConnector1">
                            <a:avLst/>
                          </a:prstGeom>
                          <a:ln w="9525" cap="flat" cmpd="sng">
                            <a:solidFill>
                              <a:srgbClr val="000000"/>
                            </a:solidFill>
                            <a:prstDash val="solid"/>
                            <a:headEnd type="none" w="med" len="med"/>
                            <a:tailEnd type="stealth" w="med" len="lg"/>
                          </a:ln>
                        </wps:spPr>
                        <wps:bodyPr/>
                      </wps:wsp>
                      <wps:wsp>
                        <wps:cNvPr id="48" name="文本框 977"/>
                        <wps:cNvSpPr txBox="1"/>
                        <wps:spPr>
                          <a:xfrm>
                            <a:off x="1733107" y="2647507"/>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上后泥板</w:t>
                              </w:r>
                            </w:p>
                          </w:txbxContent>
                        </wps:txbx>
                        <wps:bodyPr vert="horz" anchor="t" upright="1"/>
                      </wps:wsp>
                      <wps:wsp>
                        <wps:cNvPr id="49" name="直接箭头连接符 978"/>
                        <wps:cNvCnPr/>
                        <wps:spPr>
                          <a:xfrm>
                            <a:off x="2211572" y="2966484"/>
                            <a:ext cx="0" cy="333375"/>
                          </a:xfrm>
                          <a:prstGeom prst="straightConnector1">
                            <a:avLst/>
                          </a:prstGeom>
                          <a:ln w="9525" cap="flat" cmpd="sng">
                            <a:solidFill>
                              <a:srgbClr val="000000"/>
                            </a:solidFill>
                            <a:prstDash val="solid"/>
                            <a:headEnd type="none" w="med" len="med"/>
                            <a:tailEnd type="stealth" w="med" len="lg"/>
                          </a:ln>
                        </wps:spPr>
                        <wps:bodyPr/>
                      </wps:wsp>
                      <wps:wsp>
                        <wps:cNvPr id="50" name="文本框 979"/>
                        <wps:cNvSpPr txBox="1"/>
                        <wps:spPr>
                          <a:xfrm>
                            <a:off x="1733107" y="3296093"/>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上齿盘</w:t>
                              </w:r>
                            </w:p>
                          </w:txbxContent>
                        </wps:txbx>
                        <wps:bodyPr vert="horz" anchor="t" upright="1"/>
                      </wps:wsp>
                      <wps:wsp>
                        <wps:cNvPr id="51" name="直接箭头连接符 980"/>
                        <wps:cNvCnPr/>
                        <wps:spPr>
                          <a:xfrm>
                            <a:off x="2200940" y="3625702"/>
                            <a:ext cx="0" cy="333375"/>
                          </a:xfrm>
                          <a:prstGeom prst="straightConnector1">
                            <a:avLst/>
                          </a:prstGeom>
                          <a:ln w="9525" cap="flat" cmpd="sng">
                            <a:solidFill>
                              <a:srgbClr val="000000"/>
                            </a:solidFill>
                            <a:prstDash val="solid"/>
                            <a:headEnd type="none" w="med" len="med"/>
                            <a:tailEnd type="stealth" w="med" len="lg"/>
                          </a:ln>
                        </wps:spPr>
                        <wps:bodyPr/>
                      </wps:wsp>
                      <wps:wsp>
                        <wps:cNvPr id="52" name="文本框 981"/>
                        <wps:cNvSpPr txBox="1"/>
                        <wps:spPr>
                          <a:xfrm>
                            <a:off x="1733107" y="3987209"/>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接链条</w:t>
                              </w:r>
                            </w:p>
                          </w:txbxContent>
                        </wps:txbx>
                        <wps:bodyPr vert="horz" anchor="t" upright="1"/>
                      </wps:wsp>
                      <wps:wsp>
                        <wps:cNvPr id="53" name="直接箭头连接符 982"/>
                        <wps:cNvCnPr/>
                        <wps:spPr>
                          <a:xfrm>
                            <a:off x="2211572" y="4306186"/>
                            <a:ext cx="0" cy="333375"/>
                          </a:xfrm>
                          <a:prstGeom prst="straightConnector1">
                            <a:avLst/>
                          </a:prstGeom>
                          <a:ln w="9525" cap="flat" cmpd="sng">
                            <a:solidFill>
                              <a:srgbClr val="000000"/>
                            </a:solidFill>
                            <a:prstDash val="solid"/>
                            <a:headEnd type="none" w="med" len="med"/>
                            <a:tailEnd type="stealth" w="med" len="lg"/>
                          </a:ln>
                        </wps:spPr>
                        <wps:bodyPr/>
                      </wps:wsp>
                      <wps:wsp>
                        <wps:cNvPr id="54" name="文本框 983"/>
                        <wps:cNvSpPr txBox="1"/>
                        <wps:spPr>
                          <a:xfrm>
                            <a:off x="1733107" y="4646428"/>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上轮圈</w:t>
                              </w:r>
                            </w:p>
                          </w:txbxContent>
                        </wps:txbx>
                        <wps:bodyPr vert="horz" anchor="t" upright="1"/>
                      </wps:wsp>
                      <wps:wsp>
                        <wps:cNvPr id="55" name="直接箭头连接符 984"/>
                        <wps:cNvCnPr/>
                        <wps:spPr>
                          <a:xfrm>
                            <a:off x="2211572" y="4965405"/>
                            <a:ext cx="0" cy="333375"/>
                          </a:xfrm>
                          <a:prstGeom prst="straightConnector1">
                            <a:avLst/>
                          </a:prstGeom>
                          <a:ln w="9525" cap="flat" cmpd="sng">
                            <a:solidFill>
                              <a:srgbClr val="000000"/>
                            </a:solidFill>
                            <a:prstDash val="solid"/>
                            <a:headEnd type="none" w="med" len="med"/>
                            <a:tailEnd type="stealth" w="med" len="lg"/>
                          </a:ln>
                        </wps:spPr>
                        <wps:bodyPr/>
                      </wps:wsp>
                      <wps:wsp>
                        <wps:cNvPr id="56" name="文本框 985"/>
                        <wps:cNvSpPr txBox="1"/>
                        <wps:spPr>
                          <a:xfrm>
                            <a:off x="1733107" y="5305647"/>
                            <a:ext cx="962025"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装刹车</w:t>
                              </w:r>
                            </w:p>
                          </w:txbxContent>
                        </wps:txbx>
                        <wps:bodyPr vert="horz" anchor="t" upright="1"/>
                      </wps:wsp>
                      <wps:wsp>
                        <wps:cNvPr id="57" name="直接箭头连接符 986"/>
                        <wps:cNvCnPr/>
                        <wps:spPr>
                          <a:xfrm>
                            <a:off x="2200940" y="5624623"/>
                            <a:ext cx="0" cy="333375"/>
                          </a:xfrm>
                          <a:prstGeom prst="straightConnector1">
                            <a:avLst/>
                          </a:prstGeom>
                          <a:ln w="9525" cap="flat" cmpd="sng">
                            <a:solidFill>
                              <a:srgbClr val="000000"/>
                            </a:solidFill>
                            <a:prstDash val="solid"/>
                            <a:headEnd type="none" w="med" len="med"/>
                            <a:tailEnd type="stealth" w="med" len="lg"/>
                          </a:ln>
                        </wps:spPr>
                        <wps:bodyPr/>
                      </wps:wsp>
                      <wps:wsp>
                        <wps:cNvPr id="58" name="文本框 987"/>
                        <wps:cNvSpPr txBox="1"/>
                        <wps:spPr>
                          <a:xfrm>
                            <a:off x="1605517" y="5964865"/>
                            <a:ext cx="1209676" cy="323850"/>
                          </a:xfrm>
                          <a:prstGeom prst="rect">
                            <a:avLst/>
                          </a:prstGeom>
                          <a:noFill/>
                          <a:ln w="6350" cap="flat" cmpd="sng">
                            <a:solidFill>
                              <a:srgbClr val="000000"/>
                            </a:solidFill>
                            <a:prstDash val="solid"/>
                            <a:miter/>
                            <a:headEnd type="none" w="med" len="med"/>
                            <a:tailEnd type="none" w="med" len="med"/>
                          </a:ln>
                        </wps:spPr>
                        <wps:txbx>
                          <w:txbxContent>
                            <w:p>
                              <w:pPr>
                                <w:jc w:val="center"/>
                                <w:rPr>
                                  <w:rFonts w:ascii="仿宋_GB2312" w:eastAsia="仿宋_GB2312"/>
                                  <w:sz w:val="24"/>
                                </w:rPr>
                              </w:pPr>
                              <w:r>
                                <w:rPr>
                                  <w:rFonts w:hint="eastAsia" w:ascii="仿宋_GB2312" w:eastAsia="仿宋_GB2312"/>
                                  <w:sz w:val="24"/>
                                </w:rPr>
                                <w:t>装其他零部件</w:t>
                              </w:r>
                            </w:p>
                          </w:txbxContent>
                        </wps:txbx>
                        <wps:bodyPr vert="horz" anchor="t" upright="1"/>
                      </wps:wsp>
                      <wps:wsp>
                        <wps:cNvPr id="59" name="直接箭头连接符 988"/>
                        <wps:cNvCnPr/>
                        <wps:spPr>
                          <a:xfrm>
                            <a:off x="2200940" y="6283842"/>
                            <a:ext cx="0" cy="333375"/>
                          </a:xfrm>
                          <a:prstGeom prst="straightConnector1">
                            <a:avLst/>
                          </a:prstGeom>
                          <a:ln w="9525" cap="flat" cmpd="sng">
                            <a:solidFill>
                              <a:srgbClr val="000000"/>
                            </a:solidFill>
                            <a:prstDash val="solid"/>
                            <a:headEnd type="none" w="med" len="med"/>
                            <a:tailEnd type="stealth" w="med" len="lg"/>
                          </a:ln>
                        </wps:spPr>
                        <wps:bodyPr/>
                      </wps:wsp>
                      <wps:wsp>
                        <wps:cNvPr id="60" name="文本框 989"/>
                        <wps:cNvSpPr txBox="1"/>
                        <wps:spPr>
                          <a:xfrm>
                            <a:off x="1469782" y="6613377"/>
                            <a:ext cx="1395852"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检验、包装入库</w:t>
                              </w:r>
                            </w:p>
                          </w:txbxContent>
                        </wps:txbx>
                        <wps:bodyPr vert="horz" anchor="t" upright="1"/>
                      </wps:wsp>
                      <wps:wsp>
                        <wps:cNvPr id="61" name="直接箭头连接符 990"/>
                        <wps:cNvCnPr/>
                        <wps:spPr>
                          <a:xfrm>
                            <a:off x="1222744" y="1509823"/>
                            <a:ext cx="504825" cy="0"/>
                          </a:xfrm>
                          <a:prstGeom prst="straightConnector1">
                            <a:avLst/>
                          </a:prstGeom>
                          <a:ln w="9525" cap="flat" cmpd="sng">
                            <a:solidFill>
                              <a:srgbClr val="000000"/>
                            </a:solidFill>
                            <a:prstDash val="solid"/>
                            <a:headEnd type="none" w="med" len="med"/>
                            <a:tailEnd type="stealth" w="med" len="lg"/>
                          </a:ln>
                        </wps:spPr>
                        <wps:bodyPr/>
                      </wps:wsp>
                      <wps:wsp>
                        <wps:cNvPr id="62" name="文本框 991"/>
                        <wps:cNvSpPr txBox="1"/>
                        <wps:spPr>
                          <a:xfrm>
                            <a:off x="595424" y="1329070"/>
                            <a:ext cx="628650"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前叉</w:t>
                              </w:r>
                            </w:p>
                          </w:txbxContent>
                        </wps:txbx>
                        <wps:bodyPr vert="horz" anchor="t" upright="1"/>
                      </wps:wsp>
                      <wps:wsp>
                        <wps:cNvPr id="63" name="直接箭头连接符 992"/>
                        <wps:cNvCnPr/>
                        <wps:spPr>
                          <a:xfrm>
                            <a:off x="1222744" y="2806995"/>
                            <a:ext cx="504825" cy="0"/>
                          </a:xfrm>
                          <a:prstGeom prst="straightConnector1">
                            <a:avLst/>
                          </a:prstGeom>
                          <a:ln w="9525" cap="flat" cmpd="sng">
                            <a:solidFill>
                              <a:srgbClr val="000000"/>
                            </a:solidFill>
                            <a:prstDash val="solid"/>
                            <a:headEnd type="none" w="med" len="med"/>
                            <a:tailEnd type="stealth" w="med" len="lg"/>
                          </a:ln>
                        </wps:spPr>
                        <wps:bodyPr/>
                      </wps:wsp>
                      <wps:wsp>
                        <wps:cNvPr id="64" name="文本框 993"/>
                        <wps:cNvSpPr txBox="1"/>
                        <wps:spPr>
                          <a:xfrm>
                            <a:off x="510363" y="2626242"/>
                            <a:ext cx="71437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刮泥板</w:t>
                              </w:r>
                            </w:p>
                          </w:txbxContent>
                        </wps:txbx>
                        <wps:bodyPr vert="horz" anchor="t" upright="1"/>
                      </wps:wsp>
                      <wps:wsp>
                        <wps:cNvPr id="65" name="直接箭头连接符 994"/>
                        <wps:cNvCnPr/>
                        <wps:spPr>
                          <a:xfrm>
                            <a:off x="1222744" y="3444949"/>
                            <a:ext cx="504825" cy="0"/>
                          </a:xfrm>
                          <a:prstGeom prst="straightConnector1">
                            <a:avLst/>
                          </a:prstGeom>
                          <a:ln w="9525" cap="flat" cmpd="sng">
                            <a:solidFill>
                              <a:srgbClr val="000000"/>
                            </a:solidFill>
                            <a:prstDash val="solid"/>
                            <a:headEnd type="none" w="med" len="med"/>
                            <a:tailEnd type="stealth" w="med" len="lg"/>
                          </a:ln>
                        </wps:spPr>
                        <wps:bodyPr/>
                      </wps:wsp>
                      <wps:wsp>
                        <wps:cNvPr id="66" name="文本框 995"/>
                        <wps:cNvSpPr txBox="1"/>
                        <wps:spPr>
                          <a:xfrm>
                            <a:off x="510363" y="3296093"/>
                            <a:ext cx="71437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齿盘</w:t>
                              </w:r>
                            </w:p>
                          </w:txbxContent>
                        </wps:txbx>
                        <wps:bodyPr vert="horz" anchor="t" upright="1"/>
                      </wps:wsp>
                      <wps:wsp>
                        <wps:cNvPr id="67" name="直接箭头连接符 996"/>
                        <wps:cNvCnPr/>
                        <wps:spPr>
                          <a:xfrm>
                            <a:off x="1222744" y="4136065"/>
                            <a:ext cx="504825" cy="0"/>
                          </a:xfrm>
                          <a:prstGeom prst="straightConnector1">
                            <a:avLst/>
                          </a:prstGeom>
                          <a:ln w="9525" cap="flat" cmpd="sng">
                            <a:solidFill>
                              <a:srgbClr val="000000"/>
                            </a:solidFill>
                            <a:prstDash val="solid"/>
                            <a:headEnd type="none" w="med" len="med"/>
                            <a:tailEnd type="stealth" w="med" len="lg"/>
                          </a:ln>
                        </wps:spPr>
                        <wps:bodyPr/>
                      </wps:wsp>
                      <wps:wsp>
                        <wps:cNvPr id="68" name="文本框 997"/>
                        <wps:cNvSpPr txBox="1"/>
                        <wps:spPr>
                          <a:xfrm>
                            <a:off x="510363" y="3987209"/>
                            <a:ext cx="71437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链条</w:t>
                              </w:r>
                            </w:p>
                          </w:txbxContent>
                        </wps:txbx>
                        <wps:bodyPr vert="horz" anchor="t" upright="1"/>
                      </wps:wsp>
                      <wps:wsp>
                        <wps:cNvPr id="69" name="直接箭头连接符 1045"/>
                        <wps:cNvCnPr/>
                        <wps:spPr>
                          <a:xfrm>
                            <a:off x="1222744" y="2137144"/>
                            <a:ext cx="504825" cy="0"/>
                          </a:xfrm>
                          <a:prstGeom prst="straightConnector1">
                            <a:avLst/>
                          </a:prstGeom>
                          <a:ln w="9525" cap="flat" cmpd="sng">
                            <a:solidFill>
                              <a:srgbClr val="000000"/>
                            </a:solidFill>
                            <a:prstDash val="solid"/>
                            <a:headEnd type="none" w="med" len="med"/>
                            <a:tailEnd type="stealth" w="med" len="lg"/>
                          </a:ln>
                        </wps:spPr>
                        <wps:bodyPr/>
                      </wps:wsp>
                      <wps:wsp>
                        <wps:cNvPr id="70" name="文本框 1046"/>
                        <wps:cNvSpPr txBox="1"/>
                        <wps:spPr>
                          <a:xfrm>
                            <a:off x="595424" y="1988289"/>
                            <a:ext cx="628650"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衣架</w:t>
                              </w:r>
                            </w:p>
                          </w:txbxContent>
                        </wps:txbx>
                        <wps:bodyPr vert="horz" anchor="t" upright="1"/>
                      </wps:wsp>
                      <wps:wsp>
                        <wps:cNvPr id="71" name="直接箭头连接符 1047"/>
                        <wps:cNvCnPr/>
                        <wps:spPr>
                          <a:xfrm>
                            <a:off x="1222744" y="4795284"/>
                            <a:ext cx="504825" cy="0"/>
                          </a:xfrm>
                          <a:prstGeom prst="straightConnector1">
                            <a:avLst/>
                          </a:prstGeom>
                          <a:ln w="9525" cap="flat" cmpd="sng">
                            <a:solidFill>
                              <a:srgbClr val="000000"/>
                            </a:solidFill>
                            <a:prstDash val="solid"/>
                            <a:headEnd type="none" w="med" len="med"/>
                            <a:tailEnd type="stealth" w="med" len="lg"/>
                          </a:ln>
                        </wps:spPr>
                        <wps:bodyPr/>
                      </wps:wsp>
                      <wps:wsp>
                        <wps:cNvPr id="72" name="文本框 1048"/>
                        <wps:cNvSpPr txBox="1"/>
                        <wps:spPr>
                          <a:xfrm>
                            <a:off x="510363" y="4635795"/>
                            <a:ext cx="71437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轮圈</w:t>
                              </w:r>
                            </w:p>
                          </w:txbxContent>
                        </wps:txbx>
                        <wps:bodyPr vert="horz" anchor="t" upright="1"/>
                      </wps:wsp>
                      <wps:wsp>
                        <wps:cNvPr id="73" name="直接箭头连接符 1049"/>
                        <wps:cNvCnPr/>
                        <wps:spPr>
                          <a:xfrm>
                            <a:off x="1233377" y="5465135"/>
                            <a:ext cx="504825" cy="0"/>
                          </a:xfrm>
                          <a:prstGeom prst="straightConnector1">
                            <a:avLst/>
                          </a:prstGeom>
                          <a:ln w="9525" cap="flat" cmpd="sng">
                            <a:solidFill>
                              <a:srgbClr val="000000"/>
                            </a:solidFill>
                            <a:prstDash val="solid"/>
                            <a:headEnd type="none" w="med" len="med"/>
                            <a:tailEnd type="stealth" w="med" len="lg"/>
                          </a:ln>
                        </wps:spPr>
                        <wps:bodyPr/>
                      </wps:wsp>
                      <wps:wsp>
                        <wps:cNvPr id="74" name="文本框 1050"/>
                        <wps:cNvSpPr txBox="1"/>
                        <wps:spPr>
                          <a:xfrm>
                            <a:off x="510363" y="5305647"/>
                            <a:ext cx="71437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刹车</w:t>
                              </w:r>
                            </w:p>
                          </w:txbxContent>
                        </wps:txbx>
                        <wps:bodyPr vert="horz" anchor="t" upright="1"/>
                      </wps:wsp>
                      <wps:wsp>
                        <wps:cNvPr id="75" name="直接箭头连接符 1051"/>
                        <wps:cNvCnPr/>
                        <wps:spPr>
                          <a:xfrm>
                            <a:off x="1095154" y="6134986"/>
                            <a:ext cx="504825" cy="0"/>
                          </a:xfrm>
                          <a:prstGeom prst="straightConnector1">
                            <a:avLst/>
                          </a:prstGeom>
                          <a:ln w="9525" cap="flat" cmpd="sng">
                            <a:solidFill>
                              <a:srgbClr val="000000"/>
                            </a:solidFill>
                            <a:prstDash val="solid"/>
                            <a:headEnd type="none" w="med" len="med"/>
                            <a:tailEnd type="stealth" w="med" len="lg"/>
                          </a:ln>
                        </wps:spPr>
                        <wps:bodyPr/>
                      </wps:wsp>
                      <wps:wsp>
                        <wps:cNvPr id="76" name="文本框 1052"/>
                        <wps:cNvSpPr txBox="1"/>
                        <wps:spPr>
                          <a:xfrm>
                            <a:off x="0" y="5954233"/>
                            <a:ext cx="1095375" cy="323850"/>
                          </a:xfrm>
                          <a:prstGeom prst="rect">
                            <a:avLst/>
                          </a:prstGeom>
                          <a:noFill/>
                          <a:ln w="6350">
                            <a:noFill/>
                          </a:ln>
                        </wps:spPr>
                        <wps:txbx>
                          <w:txbxContent>
                            <w:p>
                              <w:pPr>
                                <w:jc w:val="center"/>
                                <w:rPr>
                                  <w:rFonts w:ascii="仿宋_GB2312" w:eastAsia="仿宋_GB2312"/>
                                  <w:sz w:val="24"/>
                                </w:rPr>
                              </w:pPr>
                              <w:r>
                                <w:rPr>
                                  <w:rFonts w:hint="eastAsia" w:ascii="仿宋_GB2312" w:eastAsia="仿宋_GB2312"/>
                                  <w:sz w:val="24"/>
                                </w:rPr>
                                <w:t>其他零部件</w:t>
                              </w:r>
                            </w:p>
                          </w:txbxContent>
                        </wps:txbx>
                        <wps:bodyPr vert="horz" anchor="t" upright="1"/>
                      </wps:wsp>
                    </wpg:wgp>
                  </a:graphicData>
                </a:graphic>
              </wp:anchor>
            </w:drawing>
          </mc:Choice>
          <mc:Fallback>
            <w:pict>
              <v:group id="组合 55" o:spid="_x0000_s1026" o:spt="203" style="position:absolute;left:0pt;margin-left:85.9pt;margin-top:4.2pt;height:463.9pt;width:229.6pt;z-index:251703296;mso-width-relative:page;mso-height-relative:page;" coordsize="2865697,6937227" o:gfxdata="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">
                <o:lock v:ext="edit" aspectratio="f"/>
                <v:shape id="文本框 969" o:spid="_x0000_s1026" o:spt="202" type="#_x0000_t202" style="position:absolute;left:1733107;top:0;height:323850;width:962025;" filled="f" stroked="f" coordsize="21600,21600" o:gfxdata="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EV4L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车架</w:t>
                        </w:r>
                      </w:p>
                    </w:txbxContent>
                  </v:textbox>
                </v:shape>
                <v:shape id="直接箭头连接符 970" o:spid="_x0000_s1026" o:spt="32" type="#_x0000_t32" style="position:absolute;left:2211572;top:329609;height:333375;width:0;" filled="f" stroked="t" coordsize="21600,21600" o:gfxdata="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3gn0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971" o:spid="_x0000_s1026" o:spt="202" type="#_x0000_t202" style="position:absolute;left:1541721;top:669851;height:323850;width:1323976;" filled="f" stroked="t" coordsize="21600,21600" o:gfxdata="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X9EG/&#10;AAAA2wAAAA8AAAAAAAAAAQAgAAAAIgAAAGRycy9kb3ducmV2LnhtbFBLAQIUABQAAAAIAIdO4kAz&#10;LwWeOwAAADkAAAAQAAAAAAAAAAEAIAAAAA4BAABkcnMvc2hhcGV4bWwueG1sUEsFBgAAAAAGAAYA&#10;WwEAALgDA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压头管、打中轴</w:t>
                        </w:r>
                      </w:p>
                    </w:txbxContent>
                  </v:textbox>
                </v:shape>
                <v:shape id="直接箭头连接符 972" o:spid="_x0000_s1026" o:spt="32" type="#_x0000_t32" style="position:absolute;left:2211572;top:999461;height:333375;width:0;" filled="f" stroked="t" coordsize="21600,21600" o:gfxdata="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eSgabsAAADb&#10;AAAADwAAAAAAAAABACAAAAAiAAAAZHJzL2Rvd25yZXYueG1sUEsBAhQAFAAAAAgAh07iQDMvBZ47&#10;AAAAOQAAABAAAAAAAAAAAQAgAAAACgEAAGRycy9zaGFwZXhtbC54bWxQSwUGAAAAAAYABgBbAQAA&#10;tAMAAAAA&#10;">
                  <v:fill on="f" focussize="0,0"/>
                  <v:stroke color="#000000" joinstyle="round" endarrow="classic" endarrowlength="long"/>
                  <v:imagedata o:title=""/>
                  <o:lock v:ext="edit" aspectratio="f"/>
                </v:shape>
                <v:shape id="文本框 973" o:spid="_x0000_s1026" o:spt="202" type="#_x0000_t202" style="position:absolute;left:1733107;top:1329070;height:323850;width:962025;" filled="f" stroked="t" coordsize="21600,21600" o:gfxdata="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JiSk&#10;wAAAANsAAAAPAAAAAAAAAAEAIAAAACIAAABkcnMvZG93bnJldi54bWxQSwECFAAUAAAACACHTuJA&#10;My8FnjsAAAA5AAAAEAAAAAAAAAABACAAAAAPAQAAZHJzL3NoYXBleG1sLnhtbFBLBQYAAAAABgAG&#10;AFsBAAC5Aw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上前叉</w:t>
                        </w:r>
                      </w:p>
                    </w:txbxContent>
                  </v:textbox>
                </v:shape>
                <v:shape id="直接箭头连接符 974" o:spid="_x0000_s1026" o:spt="32" type="#_x0000_t32" style="position:absolute;left:2211572;top:1648047;height:333375;width:0;" filled="f" stroked="t" coordsize="21600,21600" o:gfxdata="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r9kR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975" o:spid="_x0000_s1026" o:spt="202" type="#_x0000_t202" style="position:absolute;left:1733107;top:1988289;height:323850;width:962025;" filled="f" stroked="t" coordsize="21600,21600" o:gfxdata="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5Rhzy/&#10;AAAA2wAAAA8AAAAAAAAAAQAgAAAAIgAAAGRycy9kb3ducmV2LnhtbFBLAQIUABQAAAAIAIdO4kAz&#10;LwWeOwAAADkAAAAQAAAAAAAAAAEAIAAAAA4BAABkcnMvc2hhcGV4bWwueG1sUEsFBgAAAAAGAAYA&#10;WwEAALgDAAAAAA==&#10;">
                  <v:fill on="f" focussize="0,0"/>
                  <v:stroke weight="0.5pt" color="#000000" joinstyle="miter"/>
                  <v:imagedata o:title=""/>
                  <o:lock v:ext="edit" aspectratio="f"/>
                  <v:textbox>
                    <w:txbxContent>
                      <w:p>
                        <w:pPr>
                          <w:jc w:val="center"/>
                          <w:rPr>
                            <w:rFonts w:hint="eastAsia" w:ascii="仿宋_GB2312" w:eastAsia="仿宋_GB2312"/>
                            <w:sz w:val="24"/>
                            <w:lang w:eastAsia="zh-CN"/>
                          </w:rPr>
                        </w:pPr>
                        <w:r>
                          <w:rPr>
                            <w:rFonts w:hint="eastAsia" w:ascii="仿宋_GB2312" w:eastAsia="仿宋_GB2312"/>
                            <w:sz w:val="24"/>
                          </w:rPr>
                          <w:t>衣架</w:t>
                        </w:r>
                        <w:r>
                          <w:rPr>
                            <w:rFonts w:hint="eastAsia" w:ascii="仿宋_GB2312" w:eastAsia="仿宋_GB2312"/>
                            <w:sz w:val="24"/>
                            <w:lang w:eastAsia="zh-CN"/>
                          </w:rPr>
                          <w:t>装配</w:t>
                        </w:r>
                      </w:p>
                    </w:txbxContent>
                  </v:textbox>
                </v:shape>
                <v:shape id="直接箭头连接符 976" o:spid="_x0000_s1026" o:spt="32" type="#_x0000_t32" style="position:absolute;left:2211572;top:2307265;height:333375;width:0;" filled="f" stroked="t" coordsize="21600,21600" o:gfxdata="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fUdm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977" o:spid="_x0000_s1026" o:spt="202" type="#_x0000_t202" style="position:absolute;left:1733107;top:2647507;height:323850;width:962025;" filled="f" stroked="t" coordsize="21600,21600" o:gfxdata="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CttW8AAAA&#10;2wAAAA8AAAAAAAAAAQAgAAAAIgAAAGRycy9kb3ducmV2LnhtbFBLAQIUABQAAAAIAIdO4kAzLwWe&#10;OwAAADkAAAAQAAAAAAAAAAEAIAAAAAsBAABkcnMvc2hhcGV4bWwueG1sUEsFBgAAAAAGAAYAWwEA&#10;ALUDA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上后泥板</w:t>
                        </w:r>
                      </w:p>
                    </w:txbxContent>
                  </v:textbox>
                </v:shape>
                <v:shape id="直接箭头连接符 978" o:spid="_x0000_s1026" o:spt="32" type="#_x0000_t32" style="position:absolute;left:2211572;top:2966484;height:333375;width:0;" filled="f" stroked="t" coordsize="21600,21600" o:gfxdata="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q52j74A&#10;AADbAAAADwAAAAAAAAABACAAAAAiAAAAZHJzL2Rvd25yZXYueG1sUEsBAhQAFAAAAAgAh07iQDMv&#10;BZ47AAAAOQAAABAAAAAAAAAAAQAgAAAADQEAAGRycy9zaGFwZXhtbC54bWxQSwUGAAAAAAYABgBb&#10;AQAAtwMAAAAA&#10;">
                  <v:fill on="f" focussize="0,0"/>
                  <v:stroke color="#000000" joinstyle="round" endarrow="classic" endarrowlength="long"/>
                  <v:imagedata o:title=""/>
                  <o:lock v:ext="edit" aspectratio="f"/>
                </v:shape>
                <v:shape id="文本框 979" o:spid="_x0000_s1026" o:spt="202" type="#_x0000_t202" style="position:absolute;left:1733107;top:3296093;height:323850;width:962025;" filled="f" stroked="t" coordsize="21600,21600" o:gfxdata="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y0sDrsAAADb&#10;AAAADwAAAAAAAAABACAAAAAiAAAAZHJzL2Rvd25yZXYueG1sUEsBAhQAFAAAAAgAh07iQDMvBZ47&#10;AAAAOQAAABAAAAAAAAAAAQAgAAAACgEAAGRycy9zaGFwZXhtbC54bWxQSwUGAAAAAAYABgBbAQAA&#10;tAM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上齿盘</w:t>
                        </w:r>
                      </w:p>
                    </w:txbxContent>
                  </v:textbox>
                </v:shape>
                <v:shape id="直接箭头连接符 980" o:spid="_x0000_s1026" o:spt="32" type="#_x0000_t32" style="position:absolute;left:2200940;top:3625702;height:333375;width:0;" filled="f" stroked="t" coordsize="21600,21600" o:gfxdata="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QHsVL4A&#10;AADbAAAADwAAAAAAAAABACAAAAAiAAAAZHJzL2Rvd25yZXYueG1sUEsBAhQAFAAAAAgAh07iQDMv&#10;BZ47AAAAOQAAABAAAAAAAAAAAQAgAAAADQEAAGRycy9zaGFwZXhtbC54bWxQSwUGAAAAAAYABgBb&#10;AQAAtwMAAAAA&#10;">
                  <v:fill on="f" focussize="0,0"/>
                  <v:stroke color="#000000" joinstyle="round" endarrow="classic" endarrowlength="long"/>
                  <v:imagedata o:title=""/>
                  <o:lock v:ext="edit" aspectratio="f"/>
                </v:shape>
                <v:shape id="文本框 981" o:spid="_x0000_s1026" o:spt="202" type="#_x0000_t202" style="position:absolute;left:1733107;top:3987209;height:323850;width:962025;" filled="f" stroked="t" coordsize="21600,21600" o:gfxdata="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zF+K/&#10;AAAA2wAAAA8AAAAAAAAAAQAgAAAAIgAAAGRycy9kb3ducmV2LnhtbFBLAQIUABQAAAAIAIdO4kAz&#10;LwWeOwAAADkAAAAQAAAAAAAAAAEAIAAAAA4BAABkcnMvc2hhcGV4bWwueG1sUEsFBgAAAAAGAAYA&#10;WwEAALgDA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接链条</w:t>
                        </w:r>
                      </w:p>
                    </w:txbxContent>
                  </v:textbox>
                </v:shape>
                <v:shape id="直接箭头连接符 982" o:spid="_x0000_s1026" o:spt="32" type="#_x0000_t32" style="position:absolute;left:2211572;top:4306186;height:333375;width:0;" filled="f" stroked="t" coordsize="21600,21600" o:gfxdata="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9e4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983" o:spid="_x0000_s1026" o:spt="202" type="#_x0000_t202" style="position:absolute;left:1733107;top:4646428;height:323850;width:962025;" filled="f" stroked="t" coordsize="21600,21600" o:gfxdata="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WKg2/&#10;AAAA2wAAAA8AAAAAAAAAAQAgAAAAIgAAAGRycy9kb3ducmV2LnhtbFBLAQIUABQAAAAIAIdO4kAz&#10;LwWeOwAAADkAAAAQAAAAAAAAAAEAIAAAAA4BAABkcnMvc2hhcGV4bWwueG1sUEsFBgAAAAAGAAYA&#10;WwEAALgDA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上轮圈</w:t>
                        </w:r>
                      </w:p>
                    </w:txbxContent>
                  </v:textbox>
                </v:shape>
                <v:shape id="直接箭头连接符 984" o:spid="_x0000_s1026" o:spt="32" type="#_x0000_t32" style="position:absolute;left:2211572;top:4965405;height:333375;width:0;" filled="f" stroked="t" coordsize="21600,21600" o:gfxdata="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jrqV74A&#10;AADbAAAADwAAAAAAAAABACAAAAAiAAAAZHJzL2Rvd25yZXYueG1sUEsBAhQAFAAAAAgAh07iQDMv&#10;BZ47AAAAOQAAABAAAAAAAAAAAQAgAAAADQEAAGRycy9zaGFwZXhtbC54bWxQSwUGAAAAAAYABgBb&#10;AQAAtwMAAAAA&#10;">
                  <v:fill on="f" focussize="0,0"/>
                  <v:stroke color="#000000" joinstyle="round" endarrow="classic" endarrowlength="long"/>
                  <v:imagedata o:title=""/>
                  <o:lock v:ext="edit" aspectratio="f"/>
                </v:shape>
                <v:shape id="文本框 985" o:spid="_x0000_s1026" o:spt="202" type="#_x0000_t202" style="position:absolute;left:1733107;top:5305647;height:323850;width:962025;" filled="f" stroked="t" coordsize="21600,21600" o:gfxdata="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gR4b4A&#10;AADbAAAADwAAAAAAAAABACAAAAAiAAAAZHJzL2Rvd25yZXYueG1sUEsBAhQAFAAAAAgAh07iQDMv&#10;BZ47AAAAOQAAABAAAAAAAAAAAQAgAAAADQEAAGRycy9zaGFwZXhtbC54bWxQSwUGAAAAAAYABgBb&#10;AQAAtwM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装刹车</w:t>
                        </w:r>
                      </w:p>
                    </w:txbxContent>
                  </v:textbox>
                </v:shape>
                <v:shape id="直接箭头连接符 986" o:spid="_x0000_s1026" o:spt="32" type="#_x0000_t32" style="position:absolute;left:2200940;top:5624623;height:333375;width:0;" filled="f" stroked="t" coordsize="21600,21600" o:gfxdata="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k0bu8AAAA&#10;2wAAAA8AAAAAAAAAAQAgAAAAIgAAAGRycy9kb3ducmV2LnhtbFBLAQIUABQAAAAIAIdO4kAzLwWe&#10;OwAAADkAAAAQAAAAAAAAAAEAIAAAAAsBAABkcnMvc2hhcGV4bWwueG1sUEsFBgAAAAAGAAYAWwEA&#10;ALUDAAAAAA==&#10;">
                  <v:fill on="f" focussize="0,0"/>
                  <v:stroke color="#000000" joinstyle="round" endarrow="classic" endarrowlength="long"/>
                  <v:imagedata o:title=""/>
                  <o:lock v:ext="edit" aspectratio="f"/>
                </v:shape>
                <v:shape id="文本框 987" o:spid="_x0000_s1026" o:spt="202" type="#_x0000_t202" style="position:absolute;left:1605517;top:5964865;height:323850;width:1209676;" filled="f" stroked="t" coordsize="21600,21600" o:gfxdata="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VsgCLsAAADb&#10;AAAADwAAAAAAAAABACAAAAAiAAAAZHJzL2Rvd25yZXYueG1sUEsBAhQAFAAAAAgAh07iQDMvBZ47&#10;AAAAOQAAABAAAAAAAAAAAQAgAAAACgEAAGRycy9zaGFwZXhtbC54bWxQSwUGAAAAAAYABgBbAQAA&#10;tAMAAAAA&#10;">
                  <v:fill on="f" focussize="0,0"/>
                  <v:stroke weight="0.5pt" color="#000000" joinstyle="miter"/>
                  <v:imagedata o:title=""/>
                  <o:lock v:ext="edit" aspectratio="f"/>
                  <v:textbox>
                    <w:txbxContent>
                      <w:p>
                        <w:pPr>
                          <w:jc w:val="center"/>
                          <w:rPr>
                            <w:rFonts w:ascii="仿宋_GB2312" w:eastAsia="仿宋_GB2312"/>
                            <w:sz w:val="24"/>
                          </w:rPr>
                        </w:pPr>
                        <w:r>
                          <w:rPr>
                            <w:rFonts w:hint="eastAsia" w:ascii="仿宋_GB2312" w:eastAsia="仿宋_GB2312"/>
                            <w:sz w:val="24"/>
                          </w:rPr>
                          <w:t>装其他零部件</w:t>
                        </w:r>
                      </w:p>
                    </w:txbxContent>
                  </v:textbox>
                </v:shape>
                <v:shape id="直接箭头连接符 988" o:spid="_x0000_s1026" o:spt="32" type="#_x0000_t32" style="position:absolute;left:2200940;top:6283842;height:333375;width:0;" filled="f" stroked="t" coordsize="21600,21600" o:gfxdata="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934FK8AAAA&#10;2wAAAA8AAAAAAAAAAQAgAAAAIgAAAGRycy9kb3ducmV2LnhtbFBLAQIUABQAAAAIAIdO4kAzLwWe&#10;OwAAADkAAAAQAAAAAAAAAAEAIAAAAAsBAABkcnMvc2hhcGV4bWwueG1sUEsFBgAAAAAGAAYAWwEA&#10;ALUDAAAAAA==&#10;">
                  <v:fill on="f" focussize="0,0"/>
                  <v:stroke color="#000000" joinstyle="round" endarrow="classic" endarrowlength="long"/>
                  <v:imagedata o:title=""/>
                  <o:lock v:ext="edit" aspectratio="f"/>
                </v:shape>
                <v:shape id="文本框 989" o:spid="_x0000_s1026" o:spt="202" type="#_x0000_t202" style="position:absolute;left:1469782;top:6613377;height:323850;width:1395852;" filled="f" stroked="f" coordsize="21600,21600" o:gfxdata="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yI6/b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检验、包装入库</w:t>
                        </w:r>
                      </w:p>
                    </w:txbxContent>
                  </v:textbox>
                </v:shape>
                <v:shape id="直接箭头连接符 990" o:spid="_x0000_s1026" o:spt="32" type="#_x0000_t32" style="position:absolute;left:1222744;top:1509823;height:0;width:504825;" filled="f" stroked="t" coordsize="21600,21600" o:gfxdata="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20m6b4A&#10;AADbAAAADwAAAAAAAAABACAAAAAiAAAAZHJzL2Rvd25yZXYueG1sUEsBAhQAFAAAAAgAh07iQDMv&#10;BZ47AAAAOQAAABAAAAAAAAAAAQAgAAAADQEAAGRycy9zaGFwZXhtbC54bWxQSwUGAAAAAAYABgBb&#10;AQAAtwMAAAAA&#10;">
                  <v:fill on="f" focussize="0,0"/>
                  <v:stroke color="#000000" joinstyle="round" endarrow="classic" endarrowlength="long"/>
                  <v:imagedata o:title=""/>
                  <o:lock v:ext="edit" aspectratio="f"/>
                </v:shape>
                <v:shape id="文本框 991" o:spid="_x0000_s1026" o:spt="202" type="#_x0000_t202" style="position:absolute;left:595424;top:1329070;height:323850;width:628650;" filled="f" stroked="f" coordsize="21600,21600" o:gfxdata="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vAER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前叉</w:t>
                        </w:r>
                      </w:p>
                    </w:txbxContent>
                  </v:textbox>
                </v:shape>
                <v:shape id="直接箭头连接符 992" o:spid="_x0000_s1026" o:spt="32" type="#_x0000_t32" style="position:absolute;left:1222744;top:2806995;height:0;width:504825;" filled="f" stroked="t" coordsize="21600,21600" o:gfxdata="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8x0F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993" o:spid="_x0000_s1026" o:spt="202" type="#_x0000_t202" style="position:absolute;left:510363;top:2626242;height:323850;width:714375;" filled="f" stroked="f" coordsize="21600,21600" o:gfxdata="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ZPP6/&#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刮泥板</w:t>
                        </w:r>
                      </w:p>
                    </w:txbxContent>
                  </v:textbox>
                </v:shape>
                <v:shape id="直接箭头连接符 994" o:spid="_x0000_s1026" o:spt="32" type="#_x0000_t32" style="position:absolute;left:1222744;top:3444949;height:0;width:504825;" filled="f" stroked="t" coordsize="21600,21600" o:gfxdata="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WIOq8AAAA&#10;2wAAAA8AAAAAAAAAAQAgAAAAIgAAAGRycy9kb3ducmV2LnhtbFBLAQIUABQAAAAIAIdO4kAzLwWe&#10;OwAAADkAAAAQAAAAAAAAAAEAIAAAAAsBAABkcnMvc2hhcGV4bWwueG1sUEsFBgAAAAAGAAYAWwEA&#10;ALUDAAAAAA==&#10;">
                  <v:fill on="f" focussize="0,0"/>
                  <v:stroke color="#000000" joinstyle="round" endarrow="classic" endarrowlength="long"/>
                  <v:imagedata o:title=""/>
                  <o:lock v:ext="edit" aspectratio="f"/>
                </v:shape>
                <v:shape id="文本框 995" o:spid="_x0000_s1026" o:spt="202" type="#_x0000_t202" style="position:absolute;left:510363;top:3296093;height:323850;width:714375;" filled="f" stroked="f" coordsize="21600,21600" o:gfxdata="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hwcS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齿盘</w:t>
                        </w:r>
                      </w:p>
                    </w:txbxContent>
                  </v:textbox>
                </v:shape>
                <v:shape id="直接箭头连接符 996" o:spid="_x0000_s1026" o:spt="32" type="#_x0000_t32" style="position:absolute;left:1222744;top:4136065;height:0;width:504825;" filled="f" stroked="t" coordsize="21600,21600" o:gfxdata="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IGwa8AAAA&#10;2wAAAA8AAAAAAAAAAQAgAAAAIgAAAGRycy9kb3ducmV2LnhtbFBLAQIUABQAAAAIAIdO4kAzLwWe&#10;OwAAADkAAAAQAAAAAAAAAAEAIAAAAAsBAABkcnMvc2hhcGV4bWwueG1sUEsFBgAAAAAGAAYAWwEA&#10;ALUDAAAAAA==&#10;">
                  <v:fill on="f" focussize="0,0"/>
                  <v:stroke color="#000000" joinstyle="round" endarrow="classic" endarrowlength="long"/>
                  <v:imagedata o:title=""/>
                  <o:lock v:ext="edit" aspectratio="f"/>
                </v:shape>
                <v:shape id="文本框 997" o:spid="_x0000_s1026" o:spt="202" type="#_x0000_t202" style="position:absolute;left:510363;top:3987209;height:323850;width:714375;" filled="f" stroked="f" coordsize="21600,21600" o:gfxdata="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VQ2+7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链条</w:t>
                        </w:r>
                      </w:p>
                    </w:txbxContent>
                  </v:textbox>
                </v:shape>
                <v:shape id="直接箭头连接符 1045" o:spid="_x0000_s1026" o:spt="32" type="#_x0000_t32" style="position:absolute;left:1222744;top:2137144;height:0;width:504825;" filled="f" stroked="t" coordsize="21600,21600" o:gfxdata="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Gyrv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1046" o:spid="_x0000_s1026" o:spt="202" type="#_x0000_t202" style="position:absolute;left:595424;top:1988289;height:323850;width:628650;" filled="f" stroked="f" coordsize="21600,21600" o:gfxdata="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vusIL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衣架</w:t>
                        </w:r>
                      </w:p>
                    </w:txbxContent>
                  </v:textbox>
                </v:shape>
                <v:shape id="直接箭头连接符 1047" o:spid="_x0000_s1026" o:spt="32" type="#_x0000_t32" style="position:absolute;left:1222744;top:4795284;height:0;width:504825;" filled="f" stroked="t" coordsize="21600,21600" o:gfxdata="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tLA0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1048" o:spid="_x0000_s1026" o:spt="202" type="#_x0000_t202" style="position:absolute;left:510363;top:4635795;height:323850;width:714375;" filled="f" stroked="f" coordsize="21600,21600" o:gfxdata="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WXz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轮圈</w:t>
                        </w:r>
                      </w:p>
                    </w:txbxContent>
                  </v:textbox>
                </v:shape>
                <v:shape id="直接箭头连接符 1049" o:spid="_x0000_s1026" o:spt="32" type="#_x0000_t32" style="position:absolute;left:1233377;top:5465135;height:0;width:504825;" filled="f" stroked="t" coordsize="21600,21600" o:gfxdata="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KovYvQAA&#10;ANsAAAAPAAAAAAAAAAEAIAAAACIAAABkcnMvZG93bnJldi54bWxQSwECFAAUAAAACACHTuJAMy8F&#10;njsAAAA5AAAAEAAAAAAAAAABACAAAAAMAQAAZHJzL3NoYXBleG1sLnhtbFBLBQYAAAAABgAGAFsB&#10;AAC2AwAAAAA=&#10;">
                  <v:fill on="f" focussize="0,0"/>
                  <v:stroke color="#000000" joinstyle="round" endarrow="classic" endarrowlength="long"/>
                  <v:imagedata o:title=""/>
                  <o:lock v:ext="edit" aspectratio="f"/>
                </v:shape>
                <v:shape id="文本框 1050" o:spid="_x0000_s1026" o:spt="202" type="#_x0000_t202" style="position:absolute;left:510363;top:5305647;height:323850;width:714375;" filled="f" stroked="f" coordsize="21600,21600" o:gfxdata="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cCqI7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刹车</w:t>
                        </w:r>
                      </w:p>
                    </w:txbxContent>
                  </v:textbox>
                </v:shape>
                <v:shape id="直接箭头连接符 1051" o:spid="_x0000_s1026" o:spt="32" type="#_x0000_t32" style="position:absolute;left:1095154;top:6134986;height:0;width:504825;" filled="f" stroked="t" coordsize="21600,21600" o:gfxdata="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Ptje8AAAA&#10;2wAAAA8AAAAAAAAAAQAgAAAAIgAAAGRycy9kb3ducmV2LnhtbFBLAQIUABQAAAAIAIdO4kAzLwWe&#10;OwAAADkAAAAQAAAAAAAAAAEAIAAAAAsBAABkcnMvc2hhcGV4bWwueG1sUEsFBgAAAAAGAAYAWwEA&#10;ALUDAAAAAA==&#10;">
                  <v:fill on="f" focussize="0,0"/>
                  <v:stroke color="#000000" joinstyle="round" endarrow="classic" endarrowlength="long"/>
                  <v:imagedata o:title=""/>
                  <o:lock v:ext="edit" aspectratio="f"/>
                </v:shape>
                <v:shape id="文本框 1052" o:spid="_x0000_s1026" o:spt="202" type="#_x0000_t202" style="position:absolute;left:0;top:5954233;height:323850;width:1095375;" filled="f" stroked="f" coordsize="21600,21600" o:gfxdata="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ek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ascii="仿宋_GB2312" w:eastAsia="仿宋_GB2312"/>
                            <w:sz w:val="24"/>
                          </w:rPr>
                        </w:pPr>
                        <w:r>
                          <w:rPr>
                            <w:rFonts w:hint="eastAsia" w:ascii="仿宋_GB2312" w:eastAsia="仿宋_GB2312"/>
                            <w:sz w:val="24"/>
                          </w:rPr>
                          <w:t>其他零部件</w:t>
                        </w:r>
                      </w:p>
                    </w:txbxContent>
                  </v:textbox>
                </v:shape>
              </v:group>
            </w:pict>
          </mc:Fallback>
        </mc:AlternateContent>
      </w:r>
    </w:p>
    <w:p/>
    <w:p>
      <w:pPr>
        <w:jc w:val="center"/>
      </w:pPr>
    </w:p>
    <w:p/>
    <w:p/>
    <w:p/>
    <w:p/>
    <w:p/>
    <w:p/>
    <w:p/>
    <w:p/>
    <w:p/>
    <w:p/>
    <w:p/>
    <w:p/>
    <w:p/>
    <w:p/>
    <w:p/>
    <w:p/>
    <w:p/>
    <w:p/>
    <w:p/>
    <w:p/>
    <w:p/>
    <w:p/>
    <w:p/>
    <w:p/>
    <w:p>
      <w:pPr>
        <w:spacing w:line="500" w:lineRule="exact"/>
        <w:jc w:val="center"/>
        <w:rPr>
          <w:rFonts w:ascii="Times New Roman" w:hAnsi="Times New Roman" w:cs="Times New Roman"/>
          <w:b/>
          <w:kern w:val="0"/>
          <w:sz w:val="24"/>
        </w:rPr>
      </w:pPr>
    </w:p>
    <w:p>
      <w:pPr>
        <w:spacing w:line="500" w:lineRule="exact"/>
        <w:jc w:val="center"/>
        <w:rPr>
          <w:rFonts w:ascii="Times New Roman" w:hAnsi="Times New Roman" w:cs="Times New Roman"/>
          <w:b/>
          <w:kern w:val="0"/>
          <w:sz w:val="24"/>
        </w:rPr>
      </w:pPr>
    </w:p>
    <w:p>
      <w:pPr>
        <w:pStyle w:val="7"/>
        <w:spacing w:line="500" w:lineRule="exact"/>
        <w:jc w:val="center"/>
        <w:rPr>
          <w:rFonts w:ascii="Times New Roman" w:hAnsi="Times New Roman" w:cs="Times New Roman"/>
          <w:b/>
          <w:kern w:val="0"/>
          <w:sz w:val="24"/>
        </w:rPr>
      </w:pPr>
      <w:r>
        <w:t>图</w:t>
      </w:r>
      <w:r>
        <w:rPr>
          <w:rFonts w:hint="eastAsia"/>
          <w:lang w:eastAsia="zh-CN"/>
        </w:rPr>
        <w:t>3-</w:t>
      </w:r>
      <w:r>
        <w:rPr>
          <w:rFonts w:hint="eastAsia"/>
          <w:lang w:val="en-US" w:eastAsia="zh-CN"/>
        </w:rPr>
        <w:t>9</w:t>
      </w:r>
      <w:r>
        <w:rPr>
          <w:rFonts w:hint="eastAsia"/>
          <w:lang w:eastAsia="zh-CN"/>
        </w:rPr>
        <w:t xml:space="preserve">  自行车装配生产线工艺流程图</w:t>
      </w:r>
    </w:p>
    <w:p/>
    <w:p>
      <w:pPr>
        <w:spacing w:line="500" w:lineRule="exact"/>
        <w:ind w:firstLine="480" w:firstLineChars="200"/>
        <w:rPr>
          <w:rFonts w:ascii="Times New Roman" w:hAnsi="Times New Roman" w:cs="Times New Roman"/>
          <w:sz w:val="24"/>
        </w:rPr>
      </w:pPr>
      <w:r>
        <w:rPr>
          <w:rFonts w:ascii="Times New Roman" w:hAnsi="Times New Roman" w:cs="Times New Roman"/>
          <w:sz w:val="24"/>
        </w:rPr>
        <w:t>（3）成品包装线</w:t>
      </w:r>
    </w:p>
    <w:p>
      <w:pPr>
        <w:spacing w:line="500" w:lineRule="exact"/>
        <w:ind w:firstLine="480" w:firstLineChars="200"/>
        <w:rPr>
          <w:rFonts w:ascii="Times New Roman" w:hAnsi="Times New Roman" w:cs="Times New Roman"/>
          <w:sz w:val="24"/>
        </w:rPr>
        <w:sectPr>
          <w:pgSz w:w="11906" w:h="16838"/>
          <w:pgMar w:top="1440" w:right="1800" w:bottom="1440" w:left="1800" w:header="851" w:footer="992" w:gutter="0"/>
          <w:cols w:space="425" w:num="1"/>
          <w:docGrid w:type="lines" w:linePitch="312" w:charSpace="0"/>
        </w:sectPr>
      </w:pPr>
      <w:r>
        <w:rPr>
          <w:rFonts w:ascii="Times New Roman" w:hAnsi="Times New Roman" w:cs="Times New Roman"/>
          <w:sz w:val="24"/>
        </w:rPr>
        <w:t>为满足部分区域的运输需求、</w:t>
      </w:r>
      <w:r>
        <w:rPr>
          <w:rFonts w:hint="eastAsia" w:ascii="Times New Roman" w:hAnsi="Times New Roman" w:cs="Times New Roman"/>
          <w:sz w:val="24"/>
        </w:rPr>
        <w:t>30</w:t>
      </w:r>
      <w:r>
        <w:rPr>
          <w:rFonts w:ascii="Times New Roman" w:hAnsi="Times New Roman" w:cs="Times New Roman"/>
          <w:sz w:val="24"/>
        </w:rPr>
        <w:t>%左右</w:t>
      </w:r>
      <w:r>
        <w:rPr>
          <w:rFonts w:hint="eastAsia" w:ascii="Times New Roman" w:hAnsi="Times New Roman" w:cs="Times New Roman"/>
          <w:sz w:val="24"/>
        </w:rPr>
        <w:t>的</w:t>
      </w:r>
      <w:r>
        <w:rPr>
          <w:rFonts w:ascii="Times New Roman" w:hAnsi="Times New Roman" w:cs="Times New Roman"/>
          <w:sz w:val="24"/>
        </w:rPr>
        <w:t>自行车不进行整车</w:t>
      </w:r>
      <w:r>
        <w:rPr>
          <w:rFonts w:hint="eastAsia" w:ascii="Times New Roman" w:hAnsi="Times New Roman" w:cs="Times New Roman"/>
          <w:sz w:val="24"/>
          <w:lang w:eastAsia="zh-CN"/>
        </w:rPr>
        <w:t>装配</w:t>
      </w:r>
      <w:r>
        <w:rPr>
          <w:rFonts w:ascii="Times New Roman" w:hAnsi="Times New Roman" w:cs="Times New Roman"/>
          <w:sz w:val="24"/>
        </w:rPr>
        <w:t>，将所需的各类零配件直接装箱，让客户自行装配。</w:t>
      </w:r>
    </w:p>
    <w:p>
      <w:pPr>
        <w:pStyle w:val="3"/>
        <w:spacing w:line="360" w:lineRule="auto"/>
        <w:textAlignment w:val="baseline"/>
        <w:rPr>
          <w:rFonts w:cs="Times New Roman"/>
          <w:bCs/>
          <w:sz w:val="28"/>
        </w:rPr>
      </w:pPr>
      <w:bookmarkStart w:id="76" w:name="_Toc1515"/>
      <w:bookmarkStart w:id="77" w:name="_Toc10531"/>
      <w:bookmarkStart w:id="78" w:name="_Toc4811"/>
      <w:bookmarkStart w:id="79" w:name="_Toc7488"/>
      <w:bookmarkStart w:id="80" w:name="_Toc4249"/>
      <w:r>
        <w:rPr>
          <w:rFonts w:cs="Times New Roman"/>
          <w:bCs/>
          <w:sz w:val="28"/>
        </w:rPr>
        <mc:AlternateContent>
          <mc:Choice Requires="wps">
            <w:drawing>
              <wp:anchor distT="0" distB="0" distL="114300" distR="114300" simplePos="0" relativeHeight="2516121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59" name="Picture 1228" hidden="1"/>
                <wp:cNvGraphicFramePr/>
                <a:graphic xmlns:a="http://schemas.openxmlformats.org/drawingml/2006/main">
                  <a:graphicData uri="http://schemas.microsoft.com/office/word/2010/wordprocessingShape">
                    <wps:wsp>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Picture 1228" o:spid="_x0000_s1026" o:spt="1" style="position:absolute;left:0pt;margin-left:0pt;margin-top:0pt;height:50pt;width:50pt;mso-position-horizontal-relative:page;mso-position-vertical-relative:page;visibility:hidden;z-index:251612160;mso-width-relative:page;mso-height-relative:page;" fillcolor="#FFFFFF" filled="t" stroked="t" coordsize="21600,21600" o:allowincell="f"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pbpes0gAAAAUBAAAPAAAA&#10;AAAAAAEAIAAAACIAAABkcnMvZG93bnJldi54bWxQSwECFAAUAAAACACHTuJATo2WD+IBAADuAwAA&#10;DgAAAAAAAAABACAAAAAhAQAAZHJzL2Uyb0RvYy54bWxQSwUGAAAAAAYABgBZAQAAdQUAAAAA&#10;">
                <v:fill on="t" focussize="0,0"/>
                <v:stroke color="#000000" joinstyle="miter"/>
                <v:imagedata o:title=""/>
                <o:lock v:ext="edit" aspectratio="f"/>
              </v:rect>
            </w:pict>
          </mc:Fallback>
        </mc:AlternateContent>
      </w:r>
      <w:r>
        <w:rPr>
          <w:rFonts w:cs="Times New Roman"/>
          <w:bCs/>
          <w:sz w:val="28"/>
        </w:rPr>
        <mc:AlternateContent>
          <mc:Choice Requires="wps">
            <w:drawing>
              <wp:anchor distT="0" distB="0" distL="114300" distR="114300" simplePos="0" relativeHeight="2516131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85" name="AutoShape 122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29" o:spid="_x0000_s1026" o:spt="32" type="#_x0000_t32" style="position:absolute;left:0pt;margin-left:0pt;margin-top:0pt;height:50pt;width:50pt;mso-position-horizontal-relative:page;mso-position-vertical-relative:page;visibility:hidden;z-index:2516131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BUGpRTTAQAAsw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142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60" name="AutoShape 123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0" o:spid="_x0000_s1026" o:spt="32" type="#_x0000_t32" style="position:absolute;left:0pt;margin-left:0pt;margin-top:0pt;height:50pt;width:50pt;mso-position-horizontal-relative:page;mso-position-vertical-relative:page;visibility:hidden;z-index:2516142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J7zgnX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152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86" name="AutoShape 123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1" o:spid="_x0000_s1026" o:spt="32" type="#_x0000_t32" style="position:absolute;left:0pt;margin-left:0pt;margin-top:0pt;height:50pt;width:50pt;mso-position-horizontal-relative:page;mso-position-vertical-relative:page;visibility:hidden;z-index:2516152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KOxg2LTAQAAsw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162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61" name="AutoShape 123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2" o:spid="_x0000_s1026" o:spt="32" type="#_x0000_t32" style="position:absolute;left:0pt;margin-left:0pt;margin-top:0pt;height:50pt;width:50pt;mso-position-horizontal-relative:page;mso-position-vertical-relative:page;visibility:hidden;z-index:2516162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&#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IAyEf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172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87" name="AutoShape 123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3" o:spid="_x0000_s1026" o:spt="32" type="#_x0000_t32" style="position:absolute;left:0pt;margin-left:0pt;margin-top:0pt;height:50pt;width:50pt;mso-position-horizontal-relative:page;mso-position-vertical-relative:page;visibility:hidden;z-index:2516172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LVBIAjTAQAAsw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183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88" name="AutoShape 123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4" o:spid="_x0000_s1026" o:spt="32" type="#_x0000_t32" style="position:absolute;left:0pt;margin-left:0pt;margin-top:0pt;height:50pt;width:50pt;mso-position-horizontal-relative:page;mso-position-vertical-relative:page;visibility:hidden;z-index:2516183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&#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Y0Inv1AEAALM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193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89" name="AutoShape 123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5" o:spid="_x0000_s1026" o:spt="32" type="#_x0000_t32" style="position:absolute;left:0pt;margin-left:0pt;margin-top:0pt;height:50pt;width:50pt;mso-position-horizontal-relative:page;mso-position-vertical-relative:page;visibility:hidden;z-index:2516193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&#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Bf+Wk1AEAALM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03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0" name="AutoShape 123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6" o:spid="_x0000_s1026" o:spt="32" type="#_x0000_t32" style="position:absolute;left:0pt;margin-left:0pt;margin-top:0pt;height:50pt;width:50pt;mso-position-horizontal-relative:page;mso-position-vertical-relative:page;visibility:hidden;z-index:2516203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J/Xkh0AAAAAUBAAAPAAAAAAAAAAEAIAAAACIAAABkcnMv&#10;ZG93bnJldi54bWxQSwECFAAUAAAACACHTuJAZBWJCdIBAACzAwAADgAAAAAAAAABACAAAAAfAQAA&#10;ZHJzL2Uyb0RvYy54bWxQSwUGAAAAAAYABgBZAQAAYw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13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1" name="AutoShape 123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7" o:spid="_x0000_s1026" o:spt="32" type="#_x0000_t32" style="position:absolute;left:0pt;margin-left:0pt;margin-top:0pt;height:50pt;width:50pt;mso-position-horizontal-relative:page;mso-position-vertical-relative:page;visibility:hidden;z-index:2516213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J/Xkh0AAAAAUBAAAPAAAAAAAAAAEAIAAAACIAAABkcnMv&#10;ZG93bnJldi54bWxQSwECFAAUAAAACACHTuJAfbrlQtIBAACzAwAADgAAAAAAAAABACAAAAAfAQAA&#10;ZHJzL2Uyb0RvYy54bWxQSwUGAAAAAAYABgBZAQAAYw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24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2" name="AutoShape 123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8" o:spid="_x0000_s1026" o:spt="32" type="#_x0000_t32" style="position:absolute;left:0pt;margin-left:0pt;margin-top:0pt;height:50pt;width:50pt;mso-position-horizontal-relative:page;mso-position-vertical-relative:page;visibility:hidden;z-index:2516224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J/Xkh0AAAAAUBAAAPAAAAAAAAAAEAIAAAACIAAABkcnMv&#10;ZG93bnJldi54bWxQSwECFAAUAAAACACHTuJAajdtGNIBAACzAwAADgAAAAAAAAABACAAAAAfAQAA&#10;ZHJzL2Uyb0RvYy54bWxQSwUGAAAAAAYABgBZAQAAYw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34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3" name="AutoShape 123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39" o:spid="_x0000_s1026" o:spt="32" type="#_x0000_t32" style="position:absolute;left:0pt;margin-left:0pt;margin-top:0pt;height:50pt;width:50pt;mso-position-horizontal-relative:page;mso-position-vertical-relative:page;visibility:hidden;z-index:2516234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HOYAVPTAQAAsw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44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4" name="AutoShape 124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0" o:spid="_x0000_s1026" o:spt="32" type="#_x0000_t32" style="position:absolute;left:0pt;margin-left:0pt;margin-top:0pt;height:50pt;width:50pt;mso-position-horizontal-relative:page;mso-position-vertical-relative:page;visibility:hidden;z-index:2516244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An9eSHQAAAABQEAAA8AAAAAAAAAAQAgAAAAIgAAAGRycy9k&#10;b3ducmV2LnhtbFBLAQIUABQAAAAIAIdO4kAs1/lL0QEAALMDAAAOAAAAAAAAAAEAIAAAAB8BAABk&#10;cnMvZTJvRG9jLnhtbFBLBQYAAAAABgAGAFkBAABi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54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0" name="AutoShape 124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1" o:spid="_x0000_s1026" o:spt="32" type="#_x0000_t32" style="position:absolute;left:0pt;margin-left:0pt;margin-top:0pt;height:50pt;width:50pt;mso-position-horizontal-relative:page;mso-position-vertical-relative:page;visibility:hidden;z-index:2516254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&#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Cmhq/T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64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1" name="AutoShape 124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2" o:spid="_x0000_s1026" o:spt="32" type="#_x0000_t32" style="position:absolute;left:0pt;margin-left:0pt;margin-top:0pt;height:50pt;width:50pt;mso-position-horizontal-relative:page;mso-position-vertical-relative:page;visibility:hidden;z-index:2516264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DpkTYH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75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5" name="AutoShape 124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3" o:spid="_x0000_s1026" o:spt="32" type="#_x0000_t32" style="position:absolute;left:0pt;margin-left:0pt;margin-top:0pt;height:50pt;width:50pt;mso-position-horizontal-relative:page;mso-position-vertical-relative:page;visibility:hidden;z-index:2516275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An9eSHQAAAABQEAAA8AAAAAAAAAAQAgAAAAIgAAAGRycy9k&#10;b3ducmV2LnhtbFBLAQIUABQAAAAIAIdO4kA/Eh8+0QEAALMDAAAOAAAAAAAAAAEAIAAAAB8BAABk&#10;cnMvZTJvRG9jLnhtbFBLBQYAAAAABgAGAFkBAABi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85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6" name="AutoShape 124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4" o:spid="_x0000_s1026" o:spt="32" type="#_x0000_t32" style="position:absolute;left:0pt;margin-left:0pt;margin-top:0pt;height:50pt;width:50pt;mso-position-horizontal-relative:page;mso-position-vertical-relative:page;visibility:hidden;z-index:2516285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AA3vp7TAQAAsw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295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7" name="AutoShape 124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5" o:spid="_x0000_s1026" o:spt="32" type="#_x0000_t32" style="position:absolute;left:0pt;margin-left:0pt;margin-top:0pt;height:50pt;width:50pt;mso-position-horizontal-relative:page;mso-position-vertical-relative:page;visibility:hidden;z-index:2516295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J/Xkh0AAAAAUBAAAPAAAAAAAAAAEAIAAAACIAAABkcnMv&#10;ZG93bnJldi54bWxQSwECFAAUAAAACACHTuJAGZjS1dIBAACzAwAADgAAAAAAAAABACAAAAAfAQAA&#10;ZHJzL2Uyb0RvYy54bWxQSwUGAAAAAAYABgBZAQAAYw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05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8" name="AutoShape 124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6" o:spid="_x0000_s1026" o:spt="32" type="#_x0000_t32" style="position:absolute;left:0pt;margin-left:0pt;margin-top:0pt;height:50pt;width:50pt;mso-position-horizontal-relative:page;mso-position-vertical-relative:page;visibility:hidden;z-index:2516305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J/Xkh0AAAAAUBAAAPAAAAAAAAAAEAIAAAACIAAABkcnMv&#10;ZG93bnJldi54bWxQSwECFAAUAAAACACHTuJAIN1vT9IBAACzAwAADgAAAAAAAAABACAAAAAfAQAA&#10;ZHJzL2Uyb0RvYy54bWxQSwUGAAAAAAYABgBZAQAAYw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16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99" name="AutoShape 124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7" o:spid="_x0000_s1026" o:spt="32" type="#_x0000_t32" style="position:absolute;left:0pt;margin-left:0pt;margin-top:0pt;height:50pt;width:50pt;mso-position-horizontal-relative:page;mso-position-vertical-relative:page;visibility:hidden;z-index:2516316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DlyAwTTAQAAsw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26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100" name="AutoShape 124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8" o:spid="_x0000_s1026" o:spt="32" type="#_x0000_t32" style="position:absolute;left:0pt;margin-left:0pt;margin-top:0pt;height:50pt;width:50pt;mso-position-horizontal-relative:page;mso-position-vertical-relative:page;visibility:hidden;z-index:2516326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An9eSHQAAAABQEAAA8AAAAAAAAAAQAgAAAAIgAAAGRycy9k&#10;b3ducmV2LnhtbFBLAQIUABQAAAAIAIdO4kAc5uu80QEAALQDAAAOAAAAAAAAAAEAIAAAAB8BAABk&#10;cnMvZTJvRG9jLnhtbFBLBQYAAAAABgAGAFkBAABi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36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101" name="AutoShape 124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49" o:spid="_x0000_s1026" o:spt="32" type="#_x0000_t32" style="position:absolute;left:0pt;margin-left:0pt;margin-top:0pt;height:50pt;width:50pt;mso-position-horizontal-relative:page;mso-position-vertical-relative:page;visibility:hidden;z-index:2516336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AVJh/f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46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2" name="AutoShape 125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0" o:spid="_x0000_s1026" o:spt="32" type="#_x0000_t32" style="position:absolute;left:0pt;margin-left:0pt;margin-top:0pt;height:50pt;width:50pt;mso-position-horizontal-relative:page;mso-position-vertical-relative:page;visibility:hidden;z-index:2516346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K4RyDP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57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3" name="AutoShape 125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1" o:spid="_x0000_s1026" o:spt="32" type="#_x0000_t32" style="position:absolute;left:0pt;margin-left:0pt;margin-top:0pt;height:50pt;width:50pt;mso-position-horizontal-relative:page;mso-position-vertical-relative:page;visibility:hidden;z-index:2516357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Le+pHj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67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4" name="AutoShape 125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2" o:spid="_x0000_s1026" o:spt="32" type="#_x0000_t32" style="position:absolute;left:0pt;margin-left:0pt;margin-top:0pt;height:50pt;width:50pt;mso-position-horizontal-relative:page;mso-position-vertical-relative:page;visibility:hidden;z-index:2516367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K0hxi7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77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5" name="AutoShape 125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3" o:spid="_x0000_s1026" o:spt="32" type="#_x0000_t32" style="position:absolute;left:0pt;margin-left:0pt;margin-top:0pt;height:50pt;width:50pt;mso-position-horizontal-relative:page;mso-position-vertical-relative:page;visibility:hidden;z-index:2516377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LSOqmX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87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6" name="AutoShape 125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4" o:spid="_x0000_s1026" o:spt="32" type="#_x0000_t32" style="position:absolute;left:0pt;margin-left:0pt;margin-top:0pt;height:50pt;width:50pt;mso-position-horizontal-relative:page;mso-position-vertical-relative:page;visibility:hidden;z-index:2516387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LqwvF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398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7" name="AutoShape 125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5" o:spid="_x0000_s1026" o:spt="32" type="#_x0000_t32" style="position:absolute;left:0pt;margin-left:0pt;margin-top:0pt;height:50pt;width:50pt;mso-position-horizontal-relative:page;mso-position-vertical-relative:page;visibility:hidden;z-index:2516398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JIEZ47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08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8" name="AutoShape 125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6" o:spid="_x0000_s1026" o:spt="32" type="#_x0000_t32" style="position:absolute;left:0pt;margin-left:0pt;margin-top:0pt;height:50pt;width:50pt;mso-position-horizontal-relative:page;mso-position-vertical-relative:page;visibility:hidden;z-index:2516408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&#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rQdoU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18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79" name="AutoShape 125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7" o:spid="_x0000_s1026" o:spt="32" type="#_x0000_t32" style="position:absolute;left:0pt;margin-left:0pt;margin-top:0pt;height:50pt;width:50pt;mso-position-horizontal-relative:page;mso-position-vertical-relative:page;visibility:hidden;z-index:2516418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J/Xkh0AAAAAUBAAAPAAAAAAAAAAEAIAAAACIAAABk&#10;cnMvZG93bnJldi54bWxQSwECFAAUAAAACACHTuJAsu62X9UBAAC0AwAADgAAAAAAAAABACAAAAAf&#10;AQAAZHJzL2Uyb0RvYy54bWxQSwUGAAAAAAYABgBZAQAAZg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28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0" name="AutoShape 125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8" o:spid="_x0000_s1026" o:spt="32" type="#_x0000_t32" style="position:absolute;left:0pt;margin-left:0pt;margin-top:0pt;height:50pt;width:50pt;mso-position-horizontal-relative:page;mso-position-vertical-relative:page;visibility:hidden;z-index:2516428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D1qs67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39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1" name="AutoShape 125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59" o:spid="_x0000_s1026" o:spt="32" type="#_x0000_t32" style="position:absolute;left:0pt;margin-left:0pt;margin-top:0pt;height:50pt;width:50pt;mso-position-horizontal-relative:page;mso-position-vertical-relative:page;visibility:hidden;z-index:2516439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CTF3+X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49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2" name="AutoShape 126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0" o:spid="_x0000_s1026" o:spt="32" type="#_x0000_t32" style="position:absolute;left:0pt;margin-left:0pt;margin-top:0pt;height:50pt;width:50pt;mso-position-horizontal-relative:page;mso-position-vertical-relative:page;visibility:hidden;z-index:2516449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OMkV2z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59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3" name="AutoShape 126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1" o:spid="_x0000_s1026" o:spt="32" type="#_x0000_t32" style="position:absolute;left:0pt;margin-left:0pt;margin-top:0pt;height:50pt;width:50pt;mso-position-horizontal-relative:page;mso-position-vertical-relative:page;visibility:hidden;z-index:2516459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&#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6izsn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69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4" name="AutoShape 126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2" o:spid="_x0000_s1026" o:spt="32" type="#_x0000_t32" style="position:absolute;left:0pt;margin-left:0pt;margin-top:0pt;height:50pt;width:50pt;mso-position-horizontal-relative:page;mso-position-vertical-relative:page;visibility:hidden;z-index:2516469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gFFlx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80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5" name="AutoShape 126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3" o:spid="_x0000_s1026" o:spt="32" type="#_x0000_t32" style="position:absolute;left:0pt;margin-left:0pt;margin-top:0pt;height:50pt;width:50pt;mso-position-horizontal-relative:page;mso-position-vertical-relative:page;visibility:hidden;z-index:2516480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&#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5uzU6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490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6" name="AutoShape 126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4" o:spid="_x0000_s1026" o:spt="32" type="#_x0000_t32" style="position:absolute;left:0pt;margin-left:0pt;margin-top:0pt;height:50pt;width:50pt;mso-position-horizontal-relative:page;mso-position-vertical-relative:page;visibility:hidden;z-index:2516490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&#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GnpSa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00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7" name="AutoShape 126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5" o:spid="_x0000_s1026" o:spt="32" type="#_x0000_t32" style="position:absolute;left:0pt;margin-left:0pt;margin-top:0pt;height:50pt;width:50pt;mso-position-horizontal-relative:page;mso-position-vertical-relative:page;visibility:hidden;z-index:2516500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fMfjR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10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8" name="AutoShape 126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6" o:spid="_x0000_s1026" o:spt="32" type="#_x0000_t32" style="position:absolute;left:0pt;margin-left:0pt;margin-top:0pt;height:50pt;width:50pt;mso-position-horizontal-relative:page;mso-position-vertical-relative:page;visibility:hidden;z-index:2516510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&#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mdEVL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20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89" name="AutoShape 126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7" o:spid="_x0000_s1026" o:spt="32" type="#_x0000_t32" style="position:absolute;left:0pt;margin-left:0pt;margin-top:0pt;height:50pt;width:50pt;mso-position-horizontal-relative:page;mso-position-vertical-relative:page;visibility:hidden;z-index:2516520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&#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2ykA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31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0" name="AutoShape 126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8" o:spid="_x0000_s1026" o:spt="32" type="#_x0000_t32" style="position:absolute;left:0pt;margin-left:0pt;margin-top:0pt;height:50pt;width:50pt;mso-position-horizontal-relative:page;mso-position-vertical-relative:page;visibility:hidden;z-index:2516531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CbNeCr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41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1" name="AutoShape 126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69" o:spid="_x0000_s1026" o:spt="32" type="#_x0000_t32" style="position:absolute;left:0pt;margin-left:0pt;margin-top:0pt;height:50pt;width:50pt;mso-position-horizontal-relative:page;mso-position-vertical-relative:page;visibility:hidden;z-index:2516541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&#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D9iFGH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51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2" name="AutoShape 127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0" o:spid="_x0000_s1026" o:spt="32" type="#_x0000_t32" style="position:absolute;left:0pt;margin-left:0pt;margin-top:0pt;height:50pt;width:50pt;mso-position-horizontal-relative:page;mso-position-vertical-relative:page;visibility:hidden;z-index:2516551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&#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Izgdwj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61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180" name="AutoShape 127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1" o:spid="_x0000_s1026" o:spt="32" type="#_x0000_t32" style="position:absolute;left:0pt;margin-left:0pt;margin-top:0pt;height:50pt;width:50pt;mso-position-horizontal-relative:page;mso-position-vertical-relative:page;visibility:hidden;z-index:2516561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FcHsmv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72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3" name="AutoShape 127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2" o:spid="_x0000_s1026" o:spt="32" type="#_x0000_t32" style="position:absolute;left:0pt;margin-left:0pt;margin-top:0pt;height:50pt;width:50pt;mso-position-horizontal-relative:page;mso-position-vertical-relative:page;visibility:hidden;z-index:2516572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J/Xkh0AAAAAUBAAAPAAAAAAAAAAEAIAAAACIAAABk&#10;cnMvZG93bnJldi54bWxQSwECFAAUAAAACACHTuJAmhDUYtUBAAC0AwAADgAAAAAAAAABACAAAAAf&#10;AQAAZHJzL2Uyb0RvYy54bWxQSwUGAAAAAAYABgBZAQAAZg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82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4" name="AutoShape 127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3" o:spid="_x0000_s1026" o:spt="32" type="#_x0000_t32" style="position:absolute;left:0pt;margin-left:0pt;margin-top:0pt;height:50pt;width:50pt;mso-position-horizontal-relative:page;mso-position-vertical-relative:page;visibility:hidden;z-index:2516582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J/Xkh0AAAAAUBAAAPAAAAAAAAAAEAIAAAACIAAABk&#10;cnMvZG93bnJldi54bWxQSwECFAAUAAAACACHTuJAiuU8CtUBAAC0AwAADgAAAAAAAAABACAAAAAf&#10;AQAAZHJzL2Uyb0RvYy54bWxQSwUGAAAAAAYABgBZAQAAZg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82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5" name="AutoShape 127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4" o:spid="_x0000_s1026" o:spt="32" type="#_x0000_t32" style="position:absolute;left:0pt;margin-left:0pt;margin-top:0pt;height:50pt;width:50pt;mso-position-horizontal-relative:page;mso-position-vertical-relative:page;visibility:hidden;z-index:2516582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&#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N9M4C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592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6" name="AutoShape 127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5" o:spid="_x0000_s1026" o:spt="32" type="#_x0000_t32" style="position:absolute;left:0pt;margin-left:0pt;margin-top:0pt;height:50pt;width:50pt;mso-position-horizontal-relative:page;mso-position-vertical-relative:page;visibility:hidden;z-index:2516592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sb/Hh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02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7" name="AutoShape 127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6" o:spid="_x0000_s1026" o:spt="32" type="#_x0000_t32" style="position:absolute;left:0pt;margin-left:0pt;margin-top:0pt;height:50pt;width:50pt;mso-position-horizontal-relative:page;mso-position-vertical-relative:page;visibility:hidden;z-index:2516602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&#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qheU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13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8" name="AutoShape 127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7" o:spid="_x0000_s1026" o:spt="32" type="#_x0000_t32" style="position:absolute;left:0pt;margin-left:0pt;margin-top:0pt;height:50pt;width:50pt;mso-position-horizontal-relative:page;mso-position-vertical-relative:page;visibility:hidden;z-index:2516613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&#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J/Xkh0AAAAAUBAAAPAAAAAAAAAAEAIAAAACIAAABk&#10;cnMvZG93bnJldi54bWxQSwECFAAUAAAACACHTuJAjIUgMNUBAAC0AwAADgAAAAAAAAABACAAAAAf&#10;AQAAZHJzL2Uyb0RvYy54bWxQSwUGAAAAAAYABgBZAQAAZg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23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9" name="AutoShape 127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78" o:spid="_x0000_s1026" o:spt="32" type="#_x0000_t32" style="position:absolute;left:0pt;margin-left:0pt;margin-top:0pt;height:50pt;width:50pt;mso-position-horizontal-relative:page;mso-position-vertical-relative:page;visibility:hidden;z-index:2516623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&#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jPPvC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33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0" name="Picture 1279" hidden="1"/>
                <wp:cNvGraphicFramePr/>
                <a:graphic xmlns:a="http://schemas.openxmlformats.org/drawingml/2006/main">
                  <a:graphicData uri="http://schemas.microsoft.com/office/word/2010/wordprocessingShape">
                    <wps:wsp>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Picture 1279" o:spid="_x0000_s1026" o:spt="1" style="position:absolute;left:0pt;margin-left:0pt;margin-top:0pt;height:50pt;width:50pt;mso-position-horizontal-relative:page;mso-position-vertical-relative:page;visibility:hidden;z-index:251663360;mso-width-relative:page;mso-height-relative:page;" fillcolor="#FFFFFF" filled="t" stroked="t" coordsize="21600,21600" o:allowincell="f"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pbpes0gAAAAUBAAAPAAAA&#10;AAAAAAEAIAAAACIAAABkcnMvZG93bnJldi54bWxQSwECFAAUAAAACACHTuJAooyQV+IBAADuAwAA&#10;DgAAAAAAAAABACAAAAAhAQAAZHJzL2Uyb0RvYy54bWxQSwUGAAAAAAYABgBZAQAAdQUAAAAA&#10;">
                <v:fill on="t" focussize="0,0"/>
                <v:stroke color="#000000" joinstyle="miter"/>
                <v:imagedata o:title=""/>
                <o:lock v:ext="edit" aspectratio="f"/>
              </v:rect>
            </w:pict>
          </mc:Fallback>
        </mc:AlternateContent>
      </w:r>
      <w:r>
        <w:rPr>
          <w:rFonts w:cs="Times New Roman"/>
          <w:bCs/>
          <w:sz w:val="28"/>
        </w:rPr>
        <mc:AlternateContent>
          <mc:Choice Requires="wps">
            <w:drawing>
              <wp:anchor distT="0" distB="0" distL="114300" distR="114300" simplePos="0" relativeHeight="2516643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1" name="AutoShape 128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0" o:spid="_x0000_s1026" o:spt="32" type="#_x0000_t32" style="position:absolute;left:0pt;margin-left:0pt;margin-top:0pt;height:50pt;width:50pt;mso-position-horizontal-relative:page;mso-position-vertical-relative:page;visibility:hidden;z-index:2516643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M51KAv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54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2" name="AutoShape 128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1" o:spid="_x0000_s1026" o:spt="32" type="#_x0000_t32" style="position:absolute;left:0pt;margin-left:0pt;margin-top:0pt;height:50pt;width:50pt;mso-position-horizontal-relative:page;mso-position-vertical-relative:page;visibility:hidden;z-index:2516654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O/uF+j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64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3" name="AutoShape 128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2" o:spid="_x0000_s1026" o:spt="32" type="#_x0000_t32" style="position:absolute;left:0pt;margin-left:0pt;margin-top:0pt;height:50pt;width:50pt;mso-position-horizontal-relative:page;mso-position-vertical-relative:page;visibility:hidden;z-index:2516664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&#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8K/Gd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74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4" name="AutoShape 128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3" o:spid="_x0000_s1026" o:spt="32" type="#_x0000_t32" style="position:absolute;left:0pt;margin-left:0pt;margin-top:0pt;height:50pt;width:50pt;mso-position-horizontal-relative:page;mso-position-vertical-relative:page;visibility:hidden;z-index:2516674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s3hn1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84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5" name="AutoShape 128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4" o:spid="_x0000_s1026" o:spt="32" type="#_x0000_t32" style="position:absolute;left:0pt;margin-left:0pt;margin-top:0pt;height:50pt;width:50pt;mso-position-horizontal-relative:page;mso-position-vertical-relative:page;visibility:hidden;z-index:2516684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&#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rz+v9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695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6" name="AutoShape 128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5" o:spid="_x0000_s1026" o:spt="32" type="#_x0000_t32" style="position:absolute;left:0pt;margin-left:0pt;margin-top:0pt;height:50pt;width:50pt;mso-position-horizontal-relative:page;mso-position-vertical-relative:page;visibility:hidden;z-index:2516695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&#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KVNQe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05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7" name="AutoShape 128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6" o:spid="_x0000_s1026" o:spt="32" type="#_x0000_t32" style="position:absolute;left:0pt;margin-left:0pt;margin-top:0pt;height:50pt;width:50pt;mso-position-horizontal-relative:page;mso-position-vertical-relative:page;visibility:hidden;z-index:2516705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ZkTJr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15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8" name="AutoShape 128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7" o:spid="_x0000_s1026" o:spt="32" type="#_x0000_t32" style="position:absolute;left:0pt;margin-left:0pt;margin-top:0pt;height:50pt;width:50pt;mso-position-horizontal-relative:page;mso-position-vertical-relative:page;visibility:hidden;z-index:2516715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&#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qvgXP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25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09" name="AutoShape 128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8" o:spid="_x0000_s1026" o:spt="32" type="#_x0000_t32" style="position:absolute;left:0pt;margin-left:0pt;margin-top:0pt;height:50pt;width:50pt;mso-position-horizontal-relative:page;mso-position-vertical-relative:page;visibility:hidden;z-index:2516725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&#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FB949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36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0" name="AutoShape 128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89" o:spid="_x0000_s1026" o:spt="32" type="#_x0000_t32" style="position:absolute;left:0pt;margin-left:0pt;margin-top:0pt;height:50pt;width:50pt;mso-position-horizontal-relative:page;mso-position-vertical-relative:page;visibility:hidden;z-index:2516736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&#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AqBziu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46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1" name="AutoShape 129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0" o:spid="_x0000_s1026" o:spt="32" type="#_x0000_t32" style="position:absolute;left:0pt;margin-left:0pt;margin-top:0pt;height:50pt;width:50pt;mso-position-horizontal-relative:page;mso-position-vertical-relative:page;visibility:hidden;z-index:2516746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KGxCG/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56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2" name="AutoShape 129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1" o:spid="_x0000_s1026" o:spt="32" type="#_x0000_t32" style="position:absolute;left:0pt;margin-left:0pt;margin-top:0pt;height:50pt;width:50pt;mso-position-horizontal-relative:page;mso-position-vertical-relative:page;visibility:hidden;z-index:2516756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IAqN4z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66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3" name="AutoShape 129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2" o:spid="_x0000_s1026" o:spt="32" type="#_x0000_t32" style="position:absolute;left:0pt;margin-left:0pt;margin-top:0pt;height:50pt;width:50pt;mso-position-horizontal-relative:page;mso-position-vertical-relative:page;visibility:hidden;z-index:2516766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&#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T79H5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76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4" name="AutoShape 129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3" o:spid="_x0000_s1026" o:spt="32" type="#_x0000_t32" style="position:absolute;left:0pt;margin-left:0pt;margin-top:0pt;height:50pt;width:50pt;mso-position-horizontal-relative:page;mso-position-vertical-relative:page;visibility:hidden;z-index:2516776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&#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DGjmR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87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5" name="AutoShape 129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4" o:spid="_x0000_s1026" o:spt="32" type="#_x0000_t32" style="position:absolute;left:0pt;margin-left:0pt;margin-top:0pt;height:50pt;width:50pt;mso-position-horizontal-relative:page;mso-position-vertical-relative:page;visibility:hidden;z-index:2516787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&#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J/Xkh0AAAAAUBAAAPAAAAAAAAAAEAIAAAACIAAABk&#10;cnMvZG93bnJldi54bWxQSwECFAAUAAAACACHTuJAhAvLmdUBAAC0AwAADgAAAAAAAAABACAAAAAf&#10;AQAAZHJzL2Uyb0RvYy54bWxQSwUGAAAAAAYABgBZAQAAZg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797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6" name="AutoShape 129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5" o:spid="_x0000_s1026" o:spt="32" type="#_x0000_t32" style="position:absolute;left:0pt;margin-left:0pt;margin-top:0pt;height:50pt;width:50pt;mso-position-horizontal-relative:page;mso-position-vertical-relative:page;visibility:hidden;z-index:2516797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&#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lkPR6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07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7" name="AutoShape 129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6" o:spid="_x0000_s1026" o:spt="32" type="#_x0000_t32" style="position:absolute;left:0pt;margin-left:0pt;margin-top:0pt;height:50pt;width:50pt;mso-position-horizontal-relative:page;mso-position-vertical-relative:page;visibility:hidden;z-index:2516807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&#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2VRIP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17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8" name="AutoShape 129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7" o:spid="_x0000_s1026" o:spt="32" type="#_x0000_t32" style="position:absolute;left:0pt;margin-left:0pt;margin-top:0pt;height:50pt;width:50pt;mso-position-horizontal-relative:page;mso-position-vertical-relative:page;visibility:hidden;z-index:2516817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&#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J/Xkh0AAAAAUBAAAPAAAAAAAAAAEAIAAAACIAAABk&#10;cnMvZG93bnJldi54bWxQSwECFAAUAAAACACHTuJAhXolq9UBAAC0AwAADgAAAAAAAAABACAAAAAf&#10;AQAAZHJzL2Uyb0RvYy54bWxQSwUGAAAAAAYABgBZAQAAZgU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28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19" name="AutoShape 129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8" o:spid="_x0000_s1026" o:spt="32" type="#_x0000_t32" style="position:absolute;left:0pt;margin-left:0pt;margin-top:0pt;height:50pt;width:50pt;mso-position-horizontal-relative:page;mso-position-vertical-relative:page;visibility:hidden;z-index:2516828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&#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Cqw/5Z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38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0" name="AutoShape 129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299" o:spid="_x0000_s1026" o:spt="32" type="#_x0000_t32" style="position:absolute;left:0pt;margin-left:0pt;margin-top:0pt;height:50pt;width:50pt;mso-position-horizontal-relative:page;mso-position-vertical-relative:page;visibility:hidden;z-index:2516838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&#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vKLLi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48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1" name="AutoShape 130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0" o:spid="_x0000_s1026" o:spt="32" type="#_x0000_t32" style="position:absolute;left:0pt;margin-left:0pt;margin-top:0pt;height:50pt;width:50pt;mso-position-horizontal-relative:page;mso-position-vertical-relative:page;visibility:hidden;z-index:2516848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BUwCT3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58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2" name="AutoShape 130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1" o:spid="_x0000_s1026" o:spt="32" type="#_x0000_t32" style="position:absolute;left:0pt;margin-left:0pt;margin-top:0pt;height:50pt;width:50pt;mso-position-horizontal-relative:page;mso-position-vertical-relative:page;visibility:hidden;z-index:2516858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&#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A0qzbe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69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3" name="AutoShape 130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2" o:spid="_x0000_s1026" o:spt="32" type="#_x0000_t32" style="position:absolute;left:0pt;margin-left:0pt;margin-top:0pt;height:50pt;width:50pt;mso-position-horizontal-relative:page;mso-position-vertical-relative:page;visibility:hidden;z-index:2516869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&#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AnbtCr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79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4" name="AutoShape 130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3" o:spid="_x0000_s1026" o:spt="32" type="#_x0000_t32" style="position:absolute;left:0pt;margin-left:0pt;margin-top:0pt;height:50pt;width:50pt;mso-position-horizontal-relative:page;mso-position-vertical-relative:page;visibility:hidden;z-index:2516879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&#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A3mzjD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89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5" name="AutoShape 130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4" o:spid="_x0000_s1026" o:spt="32" type="#_x0000_t32" style="position:absolute;left:0pt;margin-left:0pt;margin-top:0pt;height:50pt;width:50pt;mso-position-horizontal-relative:page;mso-position-vertical-relative:page;visibility:hidden;z-index:2516889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DCKysv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899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6" name="AutoShape 130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5" o:spid="_x0000_s1026" o:spt="32" type="#_x0000_t32" style="position:absolute;left:0pt;margin-left:0pt;margin-top:0pt;height:50pt;width:50pt;mso-position-horizontal-relative:page;mso-position-vertical-relative:page;visibility:hidden;z-index:2516899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&#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BER9Sj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10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7" name="AutoShape 130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6" o:spid="_x0000_s1026" o:spt="32" type="#_x0000_t32" style="position:absolute;left:0pt;margin-left:0pt;margin-top:0pt;height:50pt;width:50pt;mso-position-horizontal-relative:page;mso-position-vertical-relative:page;visibility:hidden;z-index:2516910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&#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ALUE13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20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8" name="AutoShape 130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7" o:spid="_x0000_s1026" o:spt="32" type="#_x0000_t32" style="position:absolute;left:0pt;margin-left:0pt;margin-top:0pt;height:50pt;width:50pt;mso-position-horizontal-relative:page;mso-position-vertical-relative:page;visibility:hidden;z-index:2516920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&#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Ax+yT5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30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29" name="AutoShape 130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8" o:spid="_x0000_s1026" o:spt="32" type="#_x0000_t32" style="position:absolute;left:0pt;margin-left:0pt;margin-top:0pt;height:50pt;width:50pt;mso-position-horizontal-relative:page;mso-position-vertical-relative:page;visibility:hidden;z-index:2516930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&#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AeQv8L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40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0" name="AutoShape 130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09" o:spid="_x0000_s1026" o:spt="32" type="#_x0000_t32" style="position:absolute;left:0pt;margin-left:0pt;margin-top:0pt;height:50pt;width:50pt;mso-position-horizontal-relative:page;mso-position-vertical-relative:page;visibility:hidden;z-index:2516940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&#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DxQhmY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51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1" name="AutoShape 131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0" o:spid="_x0000_s1026" o:spt="32" type="#_x0000_t32" style="position:absolute;left:0pt;margin-left:0pt;margin-top:0pt;height:50pt;width:50pt;mso-position-horizontal-relative:page;mso-position-vertical-relative:page;visibility:hidden;z-index:2516951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Hr0KVn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61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2" name="AutoShape 131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1" o:spid="_x0000_s1026" o:spt="32" type="#_x0000_t32" style="position:absolute;left:0pt;margin-left:0pt;margin-top:0pt;height:50pt;width:50pt;mso-position-horizontal-relative:page;mso-position-vertical-relative:page;visibility:hidden;z-index:2516961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&#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Bbbxa6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71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3" name="AutoShape 131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2" o:spid="_x0000_s1026" o:spt="32" type="#_x0000_t32" style="position:absolute;left:0pt;margin-left:0pt;margin-top:0pt;height:50pt;width:50pt;mso-position-horizontal-relative:page;mso-position-vertical-relative:page;visibility:hidden;z-index:2516971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&#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BIqvDP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81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4" name="AutoShape 131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3" o:spid="_x0000_s1026" o:spt="32" type="#_x0000_t32" style="position:absolute;left:0pt;margin-left:0pt;margin-top:0pt;height:50pt;width:50pt;mso-position-horizontal-relative:page;mso-position-vertical-relative:page;visibility:hidden;z-index:2516981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&#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BYXxin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6992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5" name="AutoShape 131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4" o:spid="_x0000_s1026" o:spt="32" type="#_x0000_t32" style="position:absolute;left:0pt;margin-left:0pt;margin-top:0pt;height:50pt;width:50pt;mso-position-horizontal-relative:page;mso-position-vertical-relative:page;visibility:hidden;z-index:2516992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&#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An9eSHQAAAABQEAAA8AAAAAAAAAAQAgAAAAIgAAAGRy&#10;cy9kb3ducmV2LnhtbFBLAQIUABQAAAAIAIdO4kBfTuqv1AEAALQDAAAOAAAAAAAAAAEAIAAAAB8B&#10;AABkcnMvZTJvRG9jLnhtbFBLBQYAAAAABgAGAFkBAABlBQ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7002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6" name="AutoShape 131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5" o:spid="_x0000_s1026" o:spt="32" type="#_x0000_t32" style="position:absolute;left:0pt;margin-left:0pt;margin-top:0pt;height:50pt;width:50pt;mso-position-horizontal-relative:page;mso-position-vertical-relative:page;visibility:hidden;z-index:2517002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H7V1UzTAQAAtAMAAA4AAAAAAAAAAQAgAAAAHwEA&#10;AGRycy9lMm9Eb2MueG1sUEsFBgAAAAAGAAYAWQEAAGQFAAAAAA==&#10;">
                <v:fill on="f" focussize="0,0"/>
                <v:stroke color="#000000" joinstyle="round"/>
                <v:imagedata o:title=""/>
                <o:lock v:ext="edit" aspectratio="f"/>
              </v:shape>
            </w:pict>
          </mc:Fallback>
        </mc:AlternateContent>
      </w:r>
      <w:r>
        <w:rPr>
          <w:rFonts w:cs="Times New Roman"/>
          <w:bCs/>
          <w:sz w:val="28"/>
        </w:rPr>
        <mc:AlternateContent>
          <mc:Choice Requires="wps">
            <w:drawing>
              <wp:anchor distT="0" distB="0" distL="114300" distR="114300" simplePos="0" relativeHeight="2517012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337" name="AutoShape 131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AutoShape 1316" o:spid="_x0000_s1026" o:spt="32" type="#_x0000_t32" style="position:absolute;left:0pt;margin-left:0pt;margin-top:0pt;height:50pt;width:50pt;mso-position-horizontal-relative:page;mso-position-vertical-relative:page;visibility:hidden;z-index:2517012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Cf15IdAAAAAFAQAADwAAAAAAAAABACAAAAAiAAAAZHJz&#10;L2Rvd25yZXYueG1sUEsBAhQAFAAAAAgAh07iQG0QMznTAQAAtAMAAA4AAAAAAAAAAQAgAAAAHwEA&#10;AGRycy9lMm9Eb2MueG1sUEsFBgAAAAAGAAYAWQEAAGQFAAAAAA==&#10;">
                <v:fill on="f" focussize="0,0"/>
                <v:stroke color="#000000" joinstyle="round"/>
                <v:imagedata o:title=""/>
                <o:lock v:ext="edit" aspectratio="f"/>
              </v:shape>
            </w:pict>
          </mc:Fallback>
        </mc:AlternateContent>
      </w:r>
      <w:bookmarkStart w:id="81" w:name="_Toc499296957"/>
      <w:r>
        <w:rPr>
          <w:rFonts w:cs="Times New Roman"/>
          <w:bCs/>
          <w:sz w:val="28"/>
        </w:rPr>
        <w:t>4</w:t>
      </w:r>
      <w:r>
        <w:rPr>
          <w:rFonts w:hint="eastAsia" w:cs="Times New Roman"/>
          <w:bCs/>
          <w:sz w:val="28"/>
        </w:rPr>
        <w:t>.</w:t>
      </w:r>
      <w:r>
        <w:rPr>
          <w:rFonts w:cs="Times New Roman"/>
          <w:bCs/>
          <w:sz w:val="28"/>
        </w:rPr>
        <w:t>环境保护设施</w:t>
      </w:r>
      <w:bookmarkEnd w:id="76"/>
      <w:bookmarkEnd w:id="77"/>
      <w:bookmarkEnd w:id="78"/>
      <w:bookmarkEnd w:id="79"/>
      <w:bookmarkEnd w:id="80"/>
      <w:bookmarkEnd w:id="81"/>
    </w:p>
    <w:p>
      <w:pPr>
        <w:pStyle w:val="4"/>
        <w:adjustRightInd w:val="0"/>
        <w:spacing w:line="360" w:lineRule="auto"/>
        <w:rPr>
          <w:rFonts w:ascii="Times New Roman" w:hAnsi="Times New Roman" w:cs="Times New Roman"/>
          <w:sz w:val="24"/>
          <w:szCs w:val="24"/>
        </w:rPr>
      </w:pPr>
      <w:bookmarkStart w:id="82" w:name="_Toc208197859"/>
      <w:bookmarkStart w:id="83" w:name="_Toc18120"/>
      <w:bookmarkStart w:id="84" w:name="_Toc1783"/>
      <w:bookmarkStart w:id="85" w:name="_Toc32666"/>
      <w:bookmarkStart w:id="86" w:name="_Toc21325"/>
      <w:bookmarkStart w:id="87" w:name="_Toc10216"/>
      <w:bookmarkStart w:id="88" w:name="_Toc499296958"/>
      <w:r>
        <w:rPr>
          <w:rFonts w:ascii="Times New Roman" w:hAnsi="Times New Roman" w:cs="Times New Roman"/>
          <w:sz w:val="24"/>
          <w:szCs w:val="24"/>
        </w:rPr>
        <w:t>4.1</w:t>
      </w:r>
      <w:bookmarkEnd w:id="82"/>
      <w:r>
        <w:rPr>
          <w:rFonts w:ascii="Times New Roman" w:hAnsi="Times New Roman" w:cs="Times New Roman"/>
          <w:sz w:val="24"/>
          <w:szCs w:val="24"/>
        </w:rPr>
        <w:t>污染物治理/处置设施</w:t>
      </w:r>
      <w:bookmarkEnd w:id="83"/>
      <w:bookmarkEnd w:id="84"/>
      <w:bookmarkEnd w:id="85"/>
      <w:bookmarkEnd w:id="86"/>
      <w:bookmarkEnd w:id="87"/>
      <w:bookmarkEnd w:id="88"/>
    </w:p>
    <w:p>
      <w:pPr>
        <w:tabs>
          <w:tab w:val="left" w:pos="1996"/>
        </w:tabs>
        <w:adjustRightInd w:val="0"/>
        <w:spacing w:line="360" w:lineRule="auto"/>
        <w:outlineLvl w:val="2"/>
        <w:rPr>
          <w:rFonts w:ascii="Times New Roman" w:hAnsi="Times New Roman" w:eastAsia="宋体" w:cs="Times New Roman"/>
          <w:b/>
          <w:bCs/>
          <w:color w:val="auto"/>
          <w:sz w:val="24"/>
        </w:rPr>
      </w:pPr>
      <w:bookmarkStart w:id="89" w:name="_Toc19460"/>
      <w:r>
        <w:rPr>
          <w:rFonts w:ascii="Times New Roman" w:hAnsi="Times New Roman" w:eastAsia="宋体" w:cs="Times New Roman"/>
          <w:b/>
          <w:bCs/>
          <w:color w:val="auto"/>
          <w:sz w:val="24"/>
        </w:rPr>
        <w:t>4.1.1废水</w:t>
      </w:r>
      <w:bookmarkEnd w:id="89"/>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本项目废水包括工艺清洗废水、废气处理废水和生活污水等。本项目的废水排放情况见表4-1。</w:t>
      </w:r>
    </w:p>
    <w:p>
      <w:pPr>
        <w:pStyle w:val="7"/>
        <w:bidi w:val="0"/>
        <w:rPr>
          <w:rFonts w:hint="eastAsia"/>
          <w:lang w:eastAsia="zh-CN"/>
        </w:rPr>
      </w:pPr>
      <w:r>
        <w:t>表</w:t>
      </w:r>
      <w:r>
        <w:rPr>
          <w:rFonts w:hint="eastAsia"/>
          <w:lang w:eastAsia="zh-CN"/>
        </w:rPr>
        <w:t>4-1  项目废水产生排放情况一览表</w:t>
      </w:r>
    </w:p>
    <w:tbl>
      <w:tblPr>
        <w:tblStyle w:val="23"/>
        <w:tblpPr w:leftFromText="180" w:rightFromText="180" w:vertAnchor="text" w:tblpXSpec="center" w:tblpY="1"/>
        <w:tblOverlap w:val="never"/>
        <w:tblW w:w="8504"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91"/>
        <w:gridCol w:w="1845"/>
        <w:gridCol w:w="3370"/>
        <w:gridCol w:w="2398"/>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2" w:hRule="atLeast"/>
          <w:jc w:val="center"/>
        </w:trPr>
        <w:tc>
          <w:tcPr>
            <w:tcW w:w="891" w:type="dxa"/>
            <w:tcBorders>
              <w:tl2br w:val="nil"/>
              <w:tr2bl w:val="nil"/>
            </w:tcBorders>
            <w:vAlign w:val="center"/>
          </w:tcPr>
          <w:p>
            <w:pPr>
              <w:adjustRightInd w:val="0"/>
              <w:snapToGrid w:val="0"/>
              <w:jc w:val="center"/>
              <w:rPr>
                <w:rFonts w:ascii="Times New Roman" w:hAnsi="Times New Roman" w:cs="Times New Roman"/>
                <w:b/>
                <w:bCs/>
                <w:kern w:val="44"/>
                <w:szCs w:val="21"/>
              </w:rPr>
            </w:pPr>
            <w:r>
              <w:rPr>
                <w:rFonts w:ascii="Times New Roman" w:hAnsi="Times New Roman" w:cs="Times New Roman"/>
                <w:b/>
                <w:bCs/>
                <w:kern w:val="44"/>
                <w:szCs w:val="21"/>
              </w:rPr>
              <w:t>废水名称</w:t>
            </w:r>
          </w:p>
        </w:tc>
        <w:tc>
          <w:tcPr>
            <w:tcW w:w="1845" w:type="dxa"/>
            <w:tcBorders>
              <w:tl2br w:val="nil"/>
              <w:tr2bl w:val="nil"/>
            </w:tcBorders>
            <w:vAlign w:val="center"/>
          </w:tcPr>
          <w:p>
            <w:pPr>
              <w:adjustRightInd w:val="0"/>
              <w:snapToGrid w:val="0"/>
              <w:jc w:val="center"/>
              <w:rPr>
                <w:rFonts w:ascii="Times New Roman" w:hAnsi="Times New Roman" w:cs="Times New Roman"/>
                <w:b/>
                <w:bCs/>
                <w:kern w:val="44"/>
                <w:szCs w:val="21"/>
              </w:rPr>
            </w:pPr>
            <w:r>
              <w:rPr>
                <w:rFonts w:ascii="Times New Roman" w:hAnsi="Times New Roman" w:cs="Times New Roman"/>
                <w:b/>
                <w:bCs/>
                <w:kern w:val="44"/>
                <w:szCs w:val="21"/>
              </w:rPr>
              <w:t>污染物名称</w:t>
            </w:r>
          </w:p>
        </w:tc>
        <w:tc>
          <w:tcPr>
            <w:tcW w:w="3370" w:type="dxa"/>
            <w:tcBorders>
              <w:tl2br w:val="nil"/>
              <w:tr2bl w:val="nil"/>
            </w:tcBorders>
            <w:vAlign w:val="center"/>
          </w:tcPr>
          <w:p>
            <w:pPr>
              <w:adjustRightInd w:val="0"/>
              <w:snapToGrid w:val="0"/>
              <w:jc w:val="center"/>
              <w:rPr>
                <w:rFonts w:ascii="Times New Roman" w:hAnsi="Times New Roman" w:cs="Times New Roman"/>
                <w:b/>
                <w:bCs/>
                <w:kern w:val="44"/>
                <w:szCs w:val="21"/>
              </w:rPr>
            </w:pPr>
            <w:r>
              <w:rPr>
                <w:rFonts w:ascii="Times New Roman" w:hAnsi="Times New Roman" w:cs="Times New Roman"/>
                <w:b/>
                <w:bCs/>
                <w:kern w:val="44"/>
                <w:szCs w:val="21"/>
              </w:rPr>
              <w:t>处理方式</w:t>
            </w:r>
          </w:p>
        </w:tc>
        <w:tc>
          <w:tcPr>
            <w:tcW w:w="2398" w:type="dxa"/>
            <w:tcBorders>
              <w:tl2br w:val="nil"/>
              <w:tr2bl w:val="nil"/>
            </w:tcBorders>
            <w:vAlign w:val="center"/>
          </w:tcPr>
          <w:p>
            <w:pPr>
              <w:adjustRightInd w:val="0"/>
              <w:snapToGrid w:val="0"/>
              <w:jc w:val="center"/>
              <w:rPr>
                <w:rFonts w:ascii="Times New Roman" w:hAnsi="Times New Roman" w:cs="Times New Roman"/>
                <w:b/>
                <w:bCs/>
                <w:kern w:val="44"/>
                <w:szCs w:val="21"/>
              </w:rPr>
            </w:pPr>
          </w:p>
          <w:p>
            <w:pPr>
              <w:adjustRightInd w:val="0"/>
              <w:snapToGrid w:val="0"/>
              <w:jc w:val="center"/>
              <w:rPr>
                <w:rFonts w:ascii="Times New Roman" w:hAnsi="Times New Roman" w:cs="Times New Roman"/>
                <w:b/>
                <w:bCs/>
                <w:kern w:val="44"/>
                <w:szCs w:val="21"/>
              </w:rPr>
            </w:pPr>
            <w:r>
              <w:rPr>
                <w:rFonts w:ascii="Times New Roman" w:hAnsi="Times New Roman" w:cs="Times New Roman"/>
                <w:b/>
                <w:bCs/>
                <w:kern w:val="44"/>
                <w:szCs w:val="21"/>
              </w:rPr>
              <w:t>废水去向</w:t>
            </w:r>
          </w:p>
          <w:p>
            <w:pPr>
              <w:adjustRightInd w:val="0"/>
              <w:snapToGrid w:val="0"/>
              <w:jc w:val="center"/>
              <w:rPr>
                <w:rFonts w:ascii="Times New Roman" w:hAnsi="Times New Roman" w:cs="Times New Roman"/>
                <w:b/>
                <w:bCs/>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restart"/>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混合废水</w:t>
            </w: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水量</w:t>
            </w:r>
          </w:p>
        </w:tc>
        <w:tc>
          <w:tcPr>
            <w:tcW w:w="3370" w:type="dxa"/>
            <w:vMerge w:val="restart"/>
            <w:tcBorders>
              <w:tl2br w:val="nil"/>
              <w:tr2bl w:val="nil"/>
            </w:tcBorders>
            <w:vAlign w:val="center"/>
          </w:tcPr>
          <w:p>
            <w:pPr>
              <w:adjustRightInd w:val="0"/>
              <w:snapToGrid w:val="0"/>
              <w:rPr>
                <w:rFonts w:ascii="Times New Roman" w:hAnsi="Times New Roman" w:cs="Times New Roman"/>
                <w:kern w:val="44"/>
                <w:szCs w:val="21"/>
              </w:rPr>
            </w:pPr>
            <w:r>
              <w:rPr>
                <w:rFonts w:ascii="Times New Roman" w:hAnsi="Times New Roman" w:cs="Times New Roman"/>
                <w:kern w:val="44"/>
                <w:szCs w:val="21"/>
              </w:rPr>
              <w:t>排入美乐集团污水处理站综合废水处理单元处理，处理工艺为“中和混凝+竖流沉淀+A/O法+斜管沉淀”</w:t>
            </w:r>
          </w:p>
        </w:tc>
        <w:tc>
          <w:tcPr>
            <w:tcW w:w="2398" w:type="dxa"/>
            <w:vMerge w:val="restart"/>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永丰河</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pH</w:t>
            </w:r>
            <w:r>
              <w:rPr>
                <w:rFonts w:hint="eastAsia" w:ascii="Times New Roman" w:hAnsi="Times New Roman" w:cs="Times New Roman"/>
                <w:kern w:val="44"/>
                <w:szCs w:val="21"/>
              </w:rPr>
              <w:t>值</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hint="eastAsia" w:ascii="Times New Roman" w:hAnsi="Times New Roman" w:cs="Times New Roman"/>
                <w:kern w:val="44"/>
                <w:szCs w:val="21"/>
              </w:rPr>
              <w:t>化学需氧量</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hint="eastAsia" w:ascii="Times New Roman" w:hAnsi="Times New Roman" w:cs="Times New Roman"/>
                <w:kern w:val="44"/>
                <w:szCs w:val="21"/>
              </w:rPr>
              <w:t>悬浮物</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石油类</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restart"/>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生活污水</w:t>
            </w: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水量</w:t>
            </w:r>
          </w:p>
        </w:tc>
        <w:tc>
          <w:tcPr>
            <w:tcW w:w="3370" w:type="dxa"/>
            <w:vMerge w:val="restart"/>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化粪池预处理</w:t>
            </w:r>
          </w:p>
        </w:tc>
        <w:tc>
          <w:tcPr>
            <w:tcW w:w="2398" w:type="dxa"/>
            <w:vMerge w:val="restart"/>
            <w:tcBorders>
              <w:tl2br w:val="nil"/>
              <w:tr2bl w:val="nil"/>
            </w:tcBorders>
            <w:vAlign w:val="center"/>
          </w:tcPr>
          <w:p>
            <w:pPr>
              <w:adjustRightInd w:val="0"/>
              <w:snapToGrid w:val="0"/>
              <w:rPr>
                <w:rFonts w:ascii="Times New Roman" w:hAnsi="Times New Roman" w:cs="Times New Roman"/>
                <w:kern w:val="44"/>
                <w:szCs w:val="21"/>
              </w:rPr>
            </w:pPr>
            <w:r>
              <w:rPr>
                <w:rFonts w:ascii="Times New Roman" w:hAnsi="Times New Roman" w:cs="Times New Roman"/>
                <w:kern w:val="44"/>
                <w:szCs w:val="21"/>
              </w:rPr>
              <w:t>接管至司徒污水处理厂集中处理，最终排放至新河</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hint="eastAsia" w:ascii="Times New Roman" w:hAnsi="Times New Roman" w:cs="Times New Roman"/>
                <w:kern w:val="44"/>
                <w:szCs w:val="21"/>
              </w:rPr>
              <w:t>化学需氧量</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hint="eastAsia" w:ascii="Times New Roman" w:hAnsi="Times New Roman" w:cs="Times New Roman"/>
                <w:kern w:val="44"/>
                <w:szCs w:val="21"/>
              </w:rPr>
              <w:t>悬浮物</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氨氮</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总磷</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91"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1845" w:type="dxa"/>
            <w:tcBorders>
              <w:tl2br w:val="nil"/>
              <w:tr2bl w:val="nil"/>
            </w:tcBorders>
            <w:vAlign w:val="center"/>
          </w:tcPr>
          <w:p>
            <w:pPr>
              <w:adjustRightInd w:val="0"/>
              <w:snapToGrid w:val="0"/>
              <w:jc w:val="center"/>
              <w:rPr>
                <w:rFonts w:ascii="Times New Roman" w:hAnsi="Times New Roman" w:cs="Times New Roman"/>
                <w:kern w:val="44"/>
                <w:szCs w:val="21"/>
              </w:rPr>
            </w:pPr>
            <w:r>
              <w:rPr>
                <w:rFonts w:ascii="Times New Roman" w:hAnsi="Times New Roman" w:cs="Times New Roman"/>
                <w:kern w:val="44"/>
                <w:szCs w:val="21"/>
              </w:rPr>
              <w:t>动植物油</w:t>
            </w:r>
          </w:p>
        </w:tc>
        <w:tc>
          <w:tcPr>
            <w:tcW w:w="3370"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c>
          <w:tcPr>
            <w:tcW w:w="2398" w:type="dxa"/>
            <w:vMerge w:val="continue"/>
            <w:tcBorders>
              <w:tl2br w:val="nil"/>
              <w:tr2bl w:val="nil"/>
            </w:tcBorders>
            <w:vAlign w:val="center"/>
          </w:tcPr>
          <w:p>
            <w:pPr>
              <w:adjustRightInd w:val="0"/>
              <w:snapToGrid w:val="0"/>
              <w:jc w:val="center"/>
              <w:rPr>
                <w:rFonts w:ascii="Times New Roman" w:hAnsi="Times New Roman" w:cs="Times New Roman"/>
                <w:kern w:val="44"/>
                <w:szCs w:val="21"/>
              </w:rPr>
            </w:pPr>
          </w:p>
        </w:tc>
      </w:tr>
    </w:tbl>
    <w:p/>
    <w:p>
      <w:pPr>
        <w:pStyle w:val="6"/>
        <w:spacing w:line="360" w:lineRule="auto"/>
        <w:ind w:firstLine="0"/>
        <w:outlineLvl w:val="2"/>
        <w:rPr>
          <w:b/>
          <w:bCs/>
          <w:color w:val="auto"/>
          <w:sz w:val="24"/>
          <w:szCs w:val="24"/>
        </w:rPr>
      </w:pPr>
      <w:bookmarkStart w:id="90" w:name="_Toc13718"/>
      <w:r>
        <w:rPr>
          <w:rFonts w:hint="eastAsia"/>
          <w:b/>
          <w:bCs/>
          <w:color w:val="auto"/>
          <w:sz w:val="24"/>
          <w:szCs w:val="24"/>
        </w:rPr>
        <w:t>4.1.2废气</w:t>
      </w:r>
      <w:bookmarkEnd w:id="90"/>
    </w:p>
    <w:p>
      <w:pPr>
        <w:tabs>
          <w:tab w:val="left" w:pos="5593"/>
        </w:tabs>
        <w:spacing w:line="360" w:lineRule="auto"/>
        <w:ind w:firstLine="480" w:firstLineChars="200"/>
        <w:jc w:val="left"/>
        <w:rPr>
          <w:rFonts w:hint="eastAsia" w:ascii="Times New Roman" w:hAnsi="Times New Roman" w:cs="Times New Roman"/>
          <w:sz w:val="24"/>
          <w:lang w:val="en-US" w:eastAsia="zh-CN"/>
        </w:rPr>
      </w:pPr>
      <w:r>
        <w:rPr>
          <w:rFonts w:ascii="Times New Roman" w:hAnsi="Times New Roman" w:cs="Times New Roman"/>
          <w:sz w:val="24"/>
        </w:rPr>
        <w:t>本项目有组织废气主要包括涂装废气</w:t>
      </w:r>
      <w:r>
        <w:rPr>
          <w:rFonts w:hint="eastAsia" w:ascii="Times New Roman" w:hAnsi="Times New Roman" w:cs="Times New Roman"/>
          <w:sz w:val="24"/>
        </w:rPr>
        <w:t>和</w:t>
      </w:r>
      <w:r>
        <w:rPr>
          <w:rFonts w:ascii="Times New Roman" w:hAnsi="Times New Roman" w:cs="Times New Roman"/>
          <w:sz w:val="24"/>
        </w:rPr>
        <w:t>涂装烘干天然气燃烧废气。</w:t>
      </w:r>
      <w:r>
        <w:rPr>
          <w:rFonts w:ascii="Times New Roman" w:hAnsi="Times New Roman" w:cs="Times New Roman"/>
          <w:kern w:val="0"/>
          <w:sz w:val="24"/>
        </w:rPr>
        <w:t>手动喷漆室喷漆废气经水帘除去大部分漆雾后，</w:t>
      </w:r>
      <w:r>
        <w:rPr>
          <w:rFonts w:ascii="Times New Roman" w:hAnsi="Times New Roman" w:cs="Times New Roman"/>
          <w:sz w:val="24"/>
        </w:rPr>
        <w:t>汇入喷漆废气处理系统</w:t>
      </w:r>
      <w:r>
        <w:rPr>
          <w:rFonts w:hint="eastAsia" w:ascii="Times New Roman" w:hAnsi="Times New Roman" w:cs="Times New Roman"/>
          <w:sz w:val="24"/>
          <w:lang w:eastAsia="zh-CN"/>
        </w:rPr>
        <w:t>；静电喷漆废气经过滤毡除去大部分漆雾后，汇入喷漆废气处理系统；</w:t>
      </w:r>
      <w:r>
        <w:rPr>
          <w:rFonts w:hint="eastAsia" w:ascii="Times New Roman" w:hAnsi="Times New Roman" w:cs="Times New Roman"/>
          <w:sz w:val="24"/>
          <w:lang w:val="en-US" w:eastAsia="zh-CN"/>
        </w:rPr>
        <w:t>底漆、面漆、罩光漆三个工段的调喷漆废气分别经1套“水喷淋”（共3套）处理后合并，经过1套“UV光催化”处理后，通过1#排气筒排放；底漆、面漆、贴花、罩光漆四套烤炉燃气热气和燃烧废气一起经引风机进入烘干室烘烤工件后，与流平烘干废气混合，混合后的4股废气合并在一起，经1套“水喷淋+UV光催化”处理，通过2#排气筒排放。</w:t>
      </w:r>
    </w:p>
    <w:p>
      <w:pPr>
        <w:tabs>
          <w:tab w:val="left" w:pos="5593"/>
        </w:tabs>
        <w:spacing w:line="360" w:lineRule="auto"/>
        <w:ind w:firstLine="480" w:firstLineChars="200"/>
        <w:jc w:val="left"/>
        <w:sectPr>
          <w:pgSz w:w="11906" w:h="16838"/>
          <w:pgMar w:top="1440" w:right="1800" w:bottom="1440" w:left="1800" w:header="851" w:footer="992" w:gutter="0"/>
          <w:cols w:space="425" w:num="1"/>
          <w:docGrid w:type="lines" w:linePitch="312" w:charSpace="0"/>
        </w:sectPr>
      </w:pPr>
      <w:r>
        <w:rPr>
          <w:rFonts w:hint="eastAsia" w:ascii="Times New Roman" w:hAnsi="Times New Roman" w:cs="Times New Roman"/>
          <w:sz w:val="24"/>
        </w:rPr>
        <w:t>本项目的无组织废气主要为抛丸外溢粉尘</w:t>
      </w:r>
      <w:r>
        <w:rPr>
          <w:rFonts w:hint="eastAsia" w:ascii="Times New Roman" w:hAnsi="Times New Roman" w:cs="Times New Roman"/>
          <w:sz w:val="24"/>
          <w:lang w:val="en-US" w:eastAsia="zh-CN"/>
        </w:rPr>
        <w:t>和</w:t>
      </w:r>
      <w:r>
        <w:rPr>
          <w:rFonts w:hint="eastAsia" w:ascii="Times New Roman" w:hAnsi="Times New Roman" w:cs="Times New Roman"/>
          <w:sz w:val="24"/>
        </w:rPr>
        <w:t>涂装外溢废气。本项目的废气排放情况见表4-2。</w:t>
      </w:r>
    </w:p>
    <w:p>
      <w:pPr>
        <w:pStyle w:val="7"/>
        <w:bidi w:val="0"/>
      </w:pPr>
      <w:bookmarkStart w:id="91" w:name="_Toc78"/>
      <w:bookmarkStart w:id="92" w:name="_Toc20439_WPSOffice_Level3"/>
      <w:r>
        <w:t>表</w:t>
      </w:r>
      <w:r>
        <w:rPr>
          <w:rFonts w:hint="eastAsia"/>
          <w:lang w:eastAsia="zh-CN"/>
        </w:rPr>
        <w:t>4-2  本项目废气排放情况一览表</w:t>
      </w:r>
    </w:p>
    <w:tbl>
      <w:tblPr>
        <w:tblStyle w:val="23"/>
        <w:tblW w:w="9174" w:type="dxa"/>
        <w:jc w:val="center"/>
        <w:tblInd w:w="0" w:type="dxa"/>
        <w:tblBorders>
          <w:top w:val="single" w:color="auto" w:sz="18" w:space="0"/>
          <w:left w:val="none" w:color="auto" w:sz="0" w:space="0"/>
          <w:bottom w:val="single" w:color="auto" w:sz="18"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130"/>
        <w:gridCol w:w="1125"/>
        <w:gridCol w:w="1395"/>
        <w:gridCol w:w="2437"/>
        <w:gridCol w:w="1883"/>
        <w:gridCol w:w="1204"/>
      </w:tblGrid>
      <w:tr>
        <w:tblPrEx>
          <w:tblBorders>
            <w:top w:val="single" w:color="auto" w:sz="18" w:space="0"/>
            <w:left w:val="none" w:color="auto" w:sz="0" w:space="0"/>
            <w:bottom w:val="single" w:color="auto" w:sz="18"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489" w:hRule="atLeast"/>
          <w:jc w:val="center"/>
        </w:trPr>
        <w:tc>
          <w:tcPr>
            <w:tcW w:w="1130"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工段名称</w:t>
            </w:r>
          </w:p>
        </w:tc>
        <w:tc>
          <w:tcPr>
            <w:tcW w:w="1125"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排气筒</w:t>
            </w:r>
          </w:p>
          <w:p>
            <w:pPr>
              <w:jc w:val="center"/>
              <w:rPr>
                <w:rFonts w:ascii="Times New Roman" w:hAnsi="Times New Roman" w:cs="Times New Roman"/>
                <w:b/>
                <w:bCs/>
                <w:szCs w:val="21"/>
              </w:rPr>
            </w:pPr>
            <w:r>
              <w:rPr>
                <w:rFonts w:ascii="Times New Roman" w:hAnsi="Times New Roman" w:cs="Times New Roman"/>
                <w:b/>
                <w:bCs/>
                <w:szCs w:val="21"/>
              </w:rPr>
              <w:t>编号</w:t>
            </w:r>
          </w:p>
        </w:tc>
        <w:tc>
          <w:tcPr>
            <w:tcW w:w="1395"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排气筒高度/管道内径</w:t>
            </w:r>
          </w:p>
        </w:tc>
        <w:tc>
          <w:tcPr>
            <w:tcW w:w="2437"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污染物种类</w:t>
            </w:r>
          </w:p>
        </w:tc>
        <w:tc>
          <w:tcPr>
            <w:tcW w:w="1883"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治理措施</w:t>
            </w:r>
          </w:p>
        </w:tc>
        <w:tc>
          <w:tcPr>
            <w:tcW w:w="1204"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排放去向</w:t>
            </w:r>
          </w:p>
        </w:tc>
      </w:tr>
      <w:tr>
        <w:tblPrEx>
          <w:tblBorders>
            <w:top w:val="single" w:color="auto" w:sz="18" w:space="0"/>
            <w:left w:val="none" w:color="auto" w:sz="0" w:space="0"/>
            <w:bottom w:val="single" w:color="auto" w:sz="18"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17" w:hRule="atLeast"/>
          <w:jc w:val="center"/>
        </w:trPr>
        <w:tc>
          <w:tcPr>
            <w:tcW w:w="1130"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涂装</w:t>
            </w:r>
          </w:p>
        </w:tc>
        <w:tc>
          <w:tcPr>
            <w:tcW w:w="112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w:t>
            </w:r>
            <w:r>
              <w:rPr>
                <w:rFonts w:ascii="Times New Roman" w:hAnsi="Times New Roman" w:cs="Times New Roman"/>
                <w:szCs w:val="21"/>
              </w:rPr>
              <w:t>#排气筒</w:t>
            </w:r>
          </w:p>
        </w:tc>
        <w:tc>
          <w:tcPr>
            <w:tcW w:w="139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15米/</w:t>
            </w:r>
            <w:r>
              <w:rPr>
                <w:rFonts w:hint="eastAsia" w:ascii="Times New Roman" w:hAnsi="Times New Roman" w:cs="Times New Roman"/>
                <w:szCs w:val="21"/>
              </w:rPr>
              <w:t>1.30</w:t>
            </w:r>
            <w:r>
              <w:rPr>
                <w:rFonts w:ascii="Times New Roman" w:hAnsi="Times New Roman" w:cs="Times New Roman"/>
                <w:szCs w:val="21"/>
              </w:rPr>
              <w:t>米</w:t>
            </w:r>
          </w:p>
        </w:tc>
        <w:tc>
          <w:tcPr>
            <w:tcW w:w="2437" w:type="dxa"/>
            <w:tcBorders>
              <w:tl2br w:val="nil"/>
              <w:tr2bl w:val="nil"/>
            </w:tcBorders>
            <w:vAlign w:val="center"/>
          </w:tcPr>
          <w:p>
            <w:pPr>
              <w:jc w:val="left"/>
              <w:rPr>
                <w:rFonts w:hint="eastAsia" w:ascii="Times New Roman" w:hAnsi="Times New Roman" w:cs="Times New Roman" w:eastAsiaTheme="minorEastAsia"/>
                <w:kern w:val="0"/>
                <w:szCs w:val="21"/>
                <w:lang w:eastAsia="zh-CN"/>
              </w:rPr>
            </w:pPr>
            <w:r>
              <w:rPr>
                <w:rFonts w:ascii="Times New Roman" w:hAnsi="Times New Roman" w:cs="Times New Roman"/>
                <w:kern w:val="0"/>
                <w:szCs w:val="21"/>
              </w:rPr>
              <w:t>挥发性有机物、</w:t>
            </w:r>
            <w:r>
              <w:rPr>
                <w:rFonts w:hint="eastAsia" w:ascii="Times New Roman" w:hAnsi="Times New Roman" w:cs="Times New Roman"/>
                <w:kern w:val="0"/>
                <w:szCs w:val="21"/>
              </w:rPr>
              <w:t>丁醇、</w:t>
            </w:r>
            <w:r>
              <w:rPr>
                <w:rFonts w:ascii="Times New Roman" w:hAnsi="Times New Roman" w:cs="Times New Roman"/>
                <w:kern w:val="0"/>
                <w:szCs w:val="21"/>
              </w:rPr>
              <w:t>乙酸丁酯</w:t>
            </w:r>
            <w:r>
              <w:rPr>
                <w:rFonts w:hint="eastAsia" w:ascii="Times New Roman" w:hAnsi="Times New Roman" w:cs="Times New Roman"/>
                <w:kern w:val="0"/>
                <w:szCs w:val="21"/>
              </w:rPr>
              <w:t>、</w:t>
            </w:r>
            <w:r>
              <w:rPr>
                <w:rFonts w:hint="eastAsia" w:ascii="Times New Roman" w:hAnsi="Times New Roman" w:cs="Times New Roman"/>
                <w:kern w:val="0"/>
                <w:szCs w:val="21"/>
                <w:lang w:val="en-US" w:eastAsia="zh-CN"/>
              </w:rPr>
              <w:t>颗粒物</w:t>
            </w:r>
          </w:p>
        </w:tc>
        <w:tc>
          <w:tcPr>
            <w:tcW w:w="1883"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cs="Times New Roman"/>
                <w:szCs w:val="21"/>
              </w:rPr>
              <w:t>水喷淋+UV光解</w:t>
            </w:r>
          </w:p>
        </w:tc>
        <w:tc>
          <w:tcPr>
            <w:tcW w:w="120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排入大气</w:t>
            </w:r>
          </w:p>
        </w:tc>
      </w:tr>
      <w:tr>
        <w:tblPrEx>
          <w:tblBorders>
            <w:top w:val="single" w:color="auto" w:sz="18" w:space="0"/>
            <w:left w:val="none" w:color="auto" w:sz="0" w:space="0"/>
            <w:bottom w:val="single" w:color="auto" w:sz="18"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17" w:hRule="atLeast"/>
          <w:jc w:val="center"/>
        </w:trPr>
        <w:tc>
          <w:tcPr>
            <w:tcW w:w="1130"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烘干</w:t>
            </w:r>
          </w:p>
        </w:tc>
        <w:tc>
          <w:tcPr>
            <w:tcW w:w="112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#排气筒</w:t>
            </w:r>
          </w:p>
        </w:tc>
        <w:tc>
          <w:tcPr>
            <w:tcW w:w="1395"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cs="Times New Roman"/>
                <w:szCs w:val="21"/>
              </w:rPr>
              <w:t>15米/</w:t>
            </w:r>
            <w:r>
              <w:rPr>
                <w:rFonts w:hint="eastAsia" w:ascii="Times New Roman" w:hAnsi="Times New Roman" w:cs="Times New Roman"/>
                <w:szCs w:val="21"/>
              </w:rPr>
              <w:t>0.40</w:t>
            </w:r>
            <w:r>
              <w:rPr>
                <w:rFonts w:ascii="Times New Roman" w:hAnsi="Times New Roman" w:cs="Times New Roman"/>
                <w:szCs w:val="21"/>
              </w:rPr>
              <w:t>米</w:t>
            </w:r>
          </w:p>
        </w:tc>
        <w:tc>
          <w:tcPr>
            <w:tcW w:w="2437" w:type="dxa"/>
            <w:tcBorders>
              <w:tl2br w:val="nil"/>
              <w:tr2bl w:val="nil"/>
            </w:tcBorders>
            <w:vAlign w:val="center"/>
          </w:tcPr>
          <w:p>
            <w:pPr>
              <w:tabs>
                <w:tab w:val="center" w:pos="1170"/>
                <w:tab w:val="right" w:pos="2221"/>
              </w:tabs>
              <w:rPr>
                <w:rFonts w:ascii="Times New Roman" w:hAnsi="Times New Roman" w:cs="Times New Roman"/>
                <w:kern w:val="0"/>
                <w:szCs w:val="21"/>
              </w:rPr>
            </w:pPr>
            <w:r>
              <w:rPr>
                <w:rFonts w:hint="eastAsia" w:ascii="Times New Roman" w:hAnsi="Times New Roman" w:eastAsia="宋体" w:cs="Times New Roman"/>
                <w:szCs w:val="21"/>
              </w:rPr>
              <w:t>挥发性有机物、丁醇、乙酸丁酯、</w:t>
            </w:r>
            <w:r>
              <w:rPr>
                <w:rFonts w:ascii="Times New Roman" w:hAnsi="Times New Roman" w:eastAsia="宋体" w:cs="Times New Roman"/>
                <w:szCs w:val="21"/>
              </w:rPr>
              <w:t>颗粒物、二氧化硫、氮氧化物</w:t>
            </w:r>
          </w:p>
        </w:tc>
        <w:tc>
          <w:tcPr>
            <w:tcW w:w="188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水喷淋+UV光解</w:t>
            </w:r>
          </w:p>
        </w:tc>
        <w:tc>
          <w:tcPr>
            <w:tcW w:w="120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排入大气</w:t>
            </w:r>
          </w:p>
        </w:tc>
      </w:tr>
      <w:tr>
        <w:tblPrEx>
          <w:tblBorders>
            <w:top w:val="single" w:color="auto" w:sz="18" w:space="0"/>
            <w:left w:val="none" w:color="auto" w:sz="0" w:space="0"/>
            <w:bottom w:val="single" w:color="auto" w:sz="18"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494" w:hRule="atLeast"/>
          <w:jc w:val="center"/>
        </w:trPr>
        <w:tc>
          <w:tcPr>
            <w:tcW w:w="1130"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cs="Times New Roman"/>
                <w:szCs w:val="21"/>
              </w:rPr>
              <w:t>车间</w:t>
            </w:r>
          </w:p>
        </w:tc>
        <w:tc>
          <w:tcPr>
            <w:tcW w:w="2520" w:type="dxa"/>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无组织排放</w:t>
            </w:r>
          </w:p>
        </w:tc>
        <w:tc>
          <w:tcPr>
            <w:tcW w:w="2437" w:type="dxa"/>
            <w:tcBorders>
              <w:tl2br w:val="nil"/>
              <w:tr2bl w:val="nil"/>
            </w:tcBorders>
            <w:vAlign w:val="center"/>
          </w:tcPr>
          <w:p>
            <w:pPr>
              <w:jc w:val="both"/>
              <w:rPr>
                <w:rFonts w:hint="eastAsia" w:ascii="Times New Roman" w:hAnsi="Times New Roman" w:eastAsia="宋体" w:cs="Times New Roman"/>
                <w:szCs w:val="21"/>
                <w:lang w:eastAsia="zh-CN"/>
              </w:rPr>
            </w:pPr>
            <w:r>
              <w:rPr>
                <w:rFonts w:ascii="Times New Roman" w:hAnsi="Times New Roman" w:eastAsia="宋体" w:cs="Times New Roman"/>
                <w:szCs w:val="21"/>
              </w:rPr>
              <w:t>颗粒物</w:t>
            </w:r>
            <w:r>
              <w:rPr>
                <w:rFonts w:hint="eastAsia" w:ascii="Times New Roman" w:hAnsi="Times New Roman" w:eastAsia="宋体" w:cs="Times New Roman"/>
                <w:szCs w:val="21"/>
                <w:lang w:eastAsia="zh-CN"/>
              </w:rPr>
              <w:t>、乙酸丁酯、挥发性有机物</w:t>
            </w:r>
          </w:p>
        </w:tc>
        <w:tc>
          <w:tcPr>
            <w:tcW w:w="1883"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kern w:val="0"/>
                <w:szCs w:val="21"/>
              </w:rPr>
              <w:t>/</w:t>
            </w:r>
          </w:p>
        </w:tc>
        <w:tc>
          <w:tcPr>
            <w:tcW w:w="120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排入大气</w:t>
            </w:r>
          </w:p>
        </w:tc>
      </w:tr>
    </w:tbl>
    <w:p>
      <w:pPr>
        <w:pStyle w:val="6"/>
        <w:spacing w:line="360" w:lineRule="auto"/>
        <w:ind w:firstLine="0"/>
        <w:outlineLvl w:val="2"/>
        <w:rPr>
          <w:rFonts w:cs="Times New Roman"/>
          <w:b/>
          <w:bCs/>
          <w:color w:val="000000" w:themeColor="text1"/>
          <w:sz w:val="24"/>
          <w:szCs w:val="24"/>
          <w14:textFill>
            <w14:solidFill>
              <w14:schemeClr w14:val="tx1"/>
            </w14:solidFill>
          </w14:textFill>
        </w:rPr>
      </w:pPr>
      <w:bookmarkStart w:id="93" w:name="_Toc13933"/>
      <w:r>
        <w:rPr>
          <w:rFonts w:cs="Times New Roman"/>
          <w:b/>
          <w:bCs/>
          <w:color w:val="000000" w:themeColor="text1"/>
          <w:sz w:val="24"/>
          <w:szCs w:val="24"/>
          <w14:textFill>
            <w14:solidFill>
              <w14:schemeClr w14:val="tx1"/>
            </w14:solidFill>
          </w14:textFill>
        </w:rPr>
        <w:t>4.1.3噪声</w:t>
      </w:r>
      <w:bookmarkEnd w:id="93"/>
    </w:p>
    <w:p>
      <w:pPr>
        <w:spacing w:line="500" w:lineRule="exact"/>
        <w:ind w:firstLine="480" w:firstLineChars="200"/>
        <w:rPr>
          <w:rFonts w:ascii="Times New Roman" w:hAnsi="Times New Roman" w:cs="Times New Roman"/>
          <w:sz w:val="24"/>
        </w:rPr>
      </w:pPr>
      <w:r>
        <w:rPr>
          <w:rFonts w:ascii="Times New Roman" w:hAnsi="Times New Roman" w:cs="Times New Roman"/>
          <w:sz w:val="24"/>
        </w:rPr>
        <w:t>本项目的主要噪声源为抛丸机、空压机、风机和水泵等，</w:t>
      </w:r>
      <w:r>
        <w:rPr>
          <w:rFonts w:hint="eastAsia" w:ascii="Times New Roman" w:hAnsi="Times New Roman" w:cs="Times New Roman"/>
          <w:sz w:val="24"/>
        </w:rPr>
        <w:t>建设单位选用低噪声设备，利用消声、减振和隔声措施来降噪。</w:t>
      </w:r>
    </w:p>
    <w:p>
      <w:pPr>
        <w:pStyle w:val="6"/>
        <w:spacing w:line="360" w:lineRule="auto"/>
        <w:ind w:firstLine="0"/>
        <w:outlineLvl w:val="2"/>
        <w:rPr>
          <w:b/>
          <w:bCs/>
          <w:sz w:val="24"/>
          <w:szCs w:val="24"/>
        </w:rPr>
      </w:pPr>
      <w:bookmarkStart w:id="94" w:name="_Toc4403"/>
      <w:r>
        <w:rPr>
          <w:b/>
          <w:bCs/>
          <w:sz w:val="24"/>
          <w:szCs w:val="24"/>
        </w:rPr>
        <w:t>4.</w:t>
      </w:r>
      <w:r>
        <w:rPr>
          <w:rFonts w:hint="eastAsia"/>
          <w:b/>
          <w:bCs/>
          <w:sz w:val="24"/>
          <w:szCs w:val="24"/>
        </w:rPr>
        <w:t>1.4</w:t>
      </w:r>
      <w:r>
        <w:rPr>
          <w:b/>
          <w:bCs/>
          <w:sz w:val="24"/>
          <w:szCs w:val="24"/>
        </w:rPr>
        <w:t>固体废弃物</w:t>
      </w:r>
      <w:bookmarkEnd w:id="91"/>
      <w:bookmarkEnd w:id="92"/>
      <w:bookmarkEnd w:id="94"/>
    </w:p>
    <w:p>
      <w:pPr>
        <w:spacing w:line="500" w:lineRule="exact"/>
        <w:ind w:firstLine="480" w:firstLineChars="200"/>
        <w:rPr>
          <w:rFonts w:ascii="Times New Roman" w:hAnsi="Times New Roman" w:eastAsia="仿宋_GB2312"/>
          <w:sz w:val="28"/>
        </w:rPr>
      </w:pPr>
      <w:bookmarkStart w:id="95" w:name="_Toc10003"/>
      <w:r>
        <w:rPr>
          <w:rFonts w:ascii="Times New Roman" w:hAnsi="Times New Roman" w:cs="Times New Roman"/>
          <w:sz w:val="24"/>
        </w:rPr>
        <w:t>本项目运营期产生的固体废弃物包括：废钢丸、漆渣、废油漆桶、废过滤毡、废水处理污泥以及生活垃圾等。</w:t>
      </w:r>
    </w:p>
    <w:bookmarkEnd w:id="95"/>
    <w:p>
      <w:pPr>
        <w:pStyle w:val="6"/>
        <w:spacing w:line="360" w:lineRule="auto"/>
        <w:ind w:firstLine="480" w:firstLineChars="200"/>
        <w:rPr>
          <w:sz w:val="24"/>
          <w:szCs w:val="24"/>
        </w:rPr>
      </w:pPr>
      <w:r>
        <w:rPr>
          <w:sz w:val="24"/>
          <w:szCs w:val="24"/>
        </w:rPr>
        <w:t>建设项目的固废</w:t>
      </w:r>
      <w:r>
        <w:rPr>
          <w:rFonts w:hint="eastAsia"/>
          <w:sz w:val="24"/>
          <w:szCs w:val="24"/>
        </w:rPr>
        <w:t>具体处置方式</w:t>
      </w:r>
      <w:r>
        <w:rPr>
          <w:sz w:val="24"/>
          <w:szCs w:val="24"/>
        </w:rPr>
        <w:t>见表4-</w:t>
      </w:r>
      <w:r>
        <w:rPr>
          <w:rFonts w:hint="eastAsia"/>
          <w:sz w:val="24"/>
          <w:szCs w:val="24"/>
        </w:rPr>
        <w:t>3</w:t>
      </w:r>
      <w:r>
        <w:rPr>
          <w:sz w:val="24"/>
          <w:szCs w:val="24"/>
        </w:rPr>
        <w:t>。</w:t>
      </w:r>
    </w:p>
    <w:p>
      <w:pPr>
        <w:pStyle w:val="7"/>
        <w:bidi w:val="0"/>
      </w:pPr>
      <w:r>
        <w:t>表</w:t>
      </w:r>
      <w:r>
        <w:rPr>
          <w:rFonts w:hint="eastAsia"/>
          <w:lang w:eastAsia="zh-CN"/>
        </w:rPr>
        <w:t>4-3  固体废物处置情况一览表</w:t>
      </w:r>
    </w:p>
    <w:tbl>
      <w:tblPr>
        <w:tblStyle w:val="23"/>
        <w:tblW w:w="9463" w:type="dxa"/>
        <w:jc w:val="center"/>
        <w:tblInd w:w="-1268" w:type="dxa"/>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540"/>
        <w:gridCol w:w="867"/>
        <w:gridCol w:w="1131"/>
        <w:gridCol w:w="1228"/>
        <w:gridCol w:w="980"/>
        <w:gridCol w:w="1792"/>
        <w:gridCol w:w="1925"/>
      </w:tblGrid>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814" w:hRule="atLeast"/>
          <w:jc w:val="center"/>
        </w:trPr>
        <w:tc>
          <w:tcPr>
            <w:tcW w:w="1540" w:type="dxa"/>
            <w:tcBorders>
              <w:tl2br w:val="nil"/>
              <w:tr2bl w:val="nil"/>
            </w:tcBorders>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名称</w:t>
            </w:r>
          </w:p>
        </w:tc>
        <w:tc>
          <w:tcPr>
            <w:tcW w:w="867" w:type="dxa"/>
            <w:tcBorders>
              <w:tl2br w:val="nil"/>
              <w:tr2bl w:val="nil"/>
            </w:tcBorders>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分类编号</w:t>
            </w:r>
          </w:p>
        </w:tc>
        <w:tc>
          <w:tcPr>
            <w:tcW w:w="1131" w:type="dxa"/>
            <w:tcBorders>
              <w:tl2br w:val="nil"/>
              <w:tr2bl w:val="nil"/>
            </w:tcBorders>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环评产生量(t/a)</w:t>
            </w:r>
          </w:p>
        </w:tc>
        <w:tc>
          <w:tcPr>
            <w:tcW w:w="1228" w:type="dxa"/>
            <w:tcBorders>
              <w:tl2br w:val="nil"/>
              <w:tr2bl w:val="nil"/>
            </w:tcBorders>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实际产生量(t/a)</w:t>
            </w:r>
          </w:p>
        </w:tc>
        <w:tc>
          <w:tcPr>
            <w:tcW w:w="980" w:type="dxa"/>
            <w:tcBorders>
              <w:tl2br w:val="nil"/>
              <w:tr2bl w:val="nil"/>
            </w:tcBorders>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转移量(t/a)</w:t>
            </w:r>
          </w:p>
        </w:tc>
        <w:tc>
          <w:tcPr>
            <w:tcW w:w="1792" w:type="dxa"/>
            <w:tcBorders>
              <w:tl2br w:val="nil"/>
              <w:tr2bl w:val="nil"/>
            </w:tcBorders>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环评设计</w:t>
            </w:r>
          </w:p>
          <w:p>
            <w:pPr>
              <w:snapToGrid w:val="0"/>
              <w:jc w:val="center"/>
              <w:rPr>
                <w:rFonts w:ascii="Times New Roman" w:hAnsi="Times New Roman" w:cs="Times New Roman"/>
                <w:b/>
                <w:bCs/>
                <w:szCs w:val="21"/>
              </w:rPr>
            </w:pPr>
            <w:r>
              <w:rPr>
                <w:rFonts w:ascii="Times New Roman" w:hAnsi="Times New Roman" w:cs="Times New Roman"/>
                <w:b/>
                <w:bCs/>
                <w:szCs w:val="21"/>
              </w:rPr>
              <w:t>处置措施</w:t>
            </w:r>
          </w:p>
        </w:tc>
        <w:tc>
          <w:tcPr>
            <w:tcW w:w="1925" w:type="dxa"/>
            <w:tcBorders>
              <w:tl2br w:val="nil"/>
              <w:tr2bl w:val="nil"/>
            </w:tcBorders>
            <w:vAlign w:val="center"/>
          </w:tcPr>
          <w:p>
            <w:pPr>
              <w:snapToGrid w:val="0"/>
              <w:jc w:val="center"/>
              <w:rPr>
                <w:rFonts w:ascii="Times New Roman" w:hAnsi="Times New Roman" w:cs="Times New Roman"/>
                <w:b/>
                <w:bCs/>
                <w:color w:val="auto"/>
                <w:szCs w:val="21"/>
              </w:rPr>
            </w:pPr>
            <w:r>
              <w:rPr>
                <w:rFonts w:ascii="Times New Roman" w:hAnsi="Times New Roman" w:cs="Times New Roman"/>
                <w:b/>
                <w:bCs/>
                <w:color w:val="auto"/>
                <w:szCs w:val="21"/>
              </w:rPr>
              <w:t>实际处理</w:t>
            </w:r>
          </w:p>
          <w:p>
            <w:pPr>
              <w:snapToGrid w:val="0"/>
              <w:jc w:val="center"/>
              <w:rPr>
                <w:rFonts w:ascii="Times New Roman" w:hAnsi="Times New Roman" w:cs="Times New Roman"/>
                <w:b/>
                <w:bCs/>
                <w:color w:val="auto"/>
                <w:szCs w:val="21"/>
              </w:rPr>
            </w:pPr>
            <w:r>
              <w:rPr>
                <w:rFonts w:ascii="Times New Roman" w:hAnsi="Times New Roman" w:cs="Times New Roman"/>
                <w:b/>
                <w:bCs/>
                <w:color w:val="auto"/>
                <w:szCs w:val="21"/>
              </w:rPr>
              <w:t>处置措施</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废钢丸</w:t>
            </w:r>
          </w:p>
        </w:tc>
        <w:tc>
          <w:tcPr>
            <w:tcW w:w="8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w:t>
            </w:r>
          </w:p>
        </w:tc>
        <w:tc>
          <w:tcPr>
            <w:tcW w:w="1792" w:type="dxa"/>
            <w:vMerge w:val="restart"/>
            <w:tcBorders>
              <w:tl2br w:val="nil"/>
              <w:tr2bl w:val="nil"/>
            </w:tcBorders>
            <w:vAlign w:val="center"/>
          </w:tcPr>
          <w:p>
            <w:pPr>
              <w:jc w:val="both"/>
              <w:rPr>
                <w:rFonts w:ascii="Times New Roman" w:hAnsi="Times New Roman" w:cs="Times New Roman"/>
                <w:color w:val="FF0000"/>
                <w:szCs w:val="21"/>
              </w:rPr>
            </w:pPr>
            <w:r>
              <w:rPr>
                <w:rFonts w:ascii="Times New Roman" w:hAnsi="Times New Roman" w:cs="Times New Roman"/>
                <w:bCs/>
                <w:color w:val="auto"/>
                <w:szCs w:val="21"/>
              </w:rPr>
              <w:t>作废品出售或由相关单位回收</w:t>
            </w:r>
          </w:p>
        </w:tc>
        <w:tc>
          <w:tcPr>
            <w:tcW w:w="1925" w:type="dxa"/>
            <w:vMerge w:val="restart"/>
            <w:tcBorders>
              <w:tl2br w:val="nil"/>
              <w:tr2bl w:val="nil"/>
            </w:tcBorders>
            <w:vAlign w:val="center"/>
          </w:tcPr>
          <w:p>
            <w:pPr>
              <w:jc w:val="both"/>
              <w:rPr>
                <w:rFonts w:ascii="Times New Roman" w:hAnsi="Times New Roman" w:cs="Times New Roman"/>
                <w:color w:val="FF0000"/>
                <w:szCs w:val="21"/>
              </w:rPr>
            </w:pPr>
            <w:r>
              <w:rPr>
                <w:rFonts w:ascii="Times New Roman" w:hAnsi="Times New Roman" w:cs="Times New Roman"/>
                <w:bCs/>
                <w:color w:val="auto"/>
                <w:szCs w:val="21"/>
              </w:rPr>
              <w:t>委托</w:t>
            </w:r>
            <w:r>
              <w:rPr>
                <w:rFonts w:hint="eastAsia" w:ascii="Times New Roman" w:hAnsi="Times New Roman" w:cs="Times New Roman"/>
                <w:bCs/>
                <w:color w:val="auto"/>
                <w:szCs w:val="21"/>
                <w:lang w:eastAsia="zh-CN"/>
              </w:rPr>
              <w:t>司徒镇</w:t>
            </w:r>
            <w:r>
              <w:rPr>
                <w:rFonts w:ascii="Times New Roman" w:hAnsi="Times New Roman" w:cs="Times New Roman"/>
                <w:bCs/>
                <w:color w:val="auto"/>
                <w:szCs w:val="21"/>
              </w:rPr>
              <w:t>环卫</w:t>
            </w:r>
            <w:r>
              <w:rPr>
                <w:rFonts w:hint="eastAsia" w:ascii="Times New Roman" w:hAnsi="Times New Roman" w:cs="Times New Roman"/>
                <w:bCs/>
                <w:color w:val="auto"/>
                <w:szCs w:val="21"/>
                <w:lang w:val="en-US" w:eastAsia="zh-CN"/>
              </w:rPr>
              <w:t>部门</w:t>
            </w:r>
            <w:r>
              <w:rPr>
                <w:rFonts w:ascii="Times New Roman" w:hAnsi="Times New Roman" w:cs="Times New Roman"/>
                <w:bCs/>
                <w:color w:val="auto"/>
                <w:szCs w:val="21"/>
              </w:rPr>
              <w:t>统一处理</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除尘灰</w:t>
            </w:r>
          </w:p>
        </w:tc>
        <w:tc>
          <w:tcPr>
            <w:tcW w:w="8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0.3</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0.3</w:t>
            </w:r>
          </w:p>
        </w:tc>
        <w:tc>
          <w:tcPr>
            <w:tcW w:w="1792" w:type="dxa"/>
            <w:vMerge w:val="continue"/>
            <w:tcBorders>
              <w:tl2br w:val="nil"/>
              <w:tr2bl w:val="nil"/>
            </w:tcBorders>
            <w:vAlign w:val="center"/>
          </w:tcPr>
          <w:p>
            <w:pPr>
              <w:jc w:val="center"/>
              <w:rPr>
                <w:rFonts w:ascii="Times New Roman" w:hAnsi="Times New Roman" w:cs="Times New Roman"/>
                <w:color w:val="FF0000"/>
                <w:szCs w:val="21"/>
              </w:rPr>
            </w:pPr>
          </w:p>
        </w:tc>
        <w:tc>
          <w:tcPr>
            <w:tcW w:w="1925" w:type="dxa"/>
            <w:vMerge w:val="continue"/>
            <w:tcBorders>
              <w:tl2br w:val="nil"/>
              <w:tr2bl w:val="nil"/>
            </w:tcBorders>
            <w:vAlign w:val="center"/>
          </w:tcPr>
          <w:p>
            <w:pPr>
              <w:jc w:val="center"/>
              <w:rPr>
                <w:rFonts w:ascii="Times New Roman" w:hAnsi="Times New Roman" w:cs="Times New Roman"/>
                <w:color w:val="FF0000"/>
                <w:szCs w:val="21"/>
              </w:rPr>
            </w:pP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废包装材料</w:t>
            </w:r>
          </w:p>
        </w:tc>
        <w:tc>
          <w:tcPr>
            <w:tcW w:w="8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w:t>
            </w:r>
          </w:p>
        </w:tc>
        <w:tc>
          <w:tcPr>
            <w:tcW w:w="1792" w:type="dxa"/>
            <w:vMerge w:val="continue"/>
            <w:tcBorders>
              <w:tl2br w:val="nil"/>
              <w:tr2bl w:val="nil"/>
            </w:tcBorders>
            <w:vAlign w:val="center"/>
          </w:tcPr>
          <w:p>
            <w:pPr>
              <w:jc w:val="center"/>
              <w:rPr>
                <w:rFonts w:ascii="Times New Roman" w:hAnsi="Times New Roman" w:cs="Times New Roman"/>
                <w:color w:val="FF0000"/>
                <w:szCs w:val="21"/>
              </w:rPr>
            </w:pPr>
          </w:p>
        </w:tc>
        <w:tc>
          <w:tcPr>
            <w:tcW w:w="1925" w:type="dxa"/>
            <w:vMerge w:val="continue"/>
            <w:tcBorders>
              <w:tl2br w:val="nil"/>
              <w:tr2bl w:val="nil"/>
            </w:tcBorders>
            <w:vAlign w:val="center"/>
          </w:tcPr>
          <w:p>
            <w:pPr>
              <w:jc w:val="center"/>
              <w:rPr>
                <w:rFonts w:ascii="Times New Roman" w:hAnsi="Times New Roman" w:cs="Times New Roman"/>
                <w:color w:val="FF0000"/>
                <w:szCs w:val="21"/>
              </w:rPr>
            </w:pP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生活垃圾</w:t>
            </w:r>
          </w:p>
        </w:tc>
        <w:tc>
          <w:tcPr>
            <w:tcW w:w="86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36</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w:t>
            </w:r>
          </w:p>
        </w:tc>
        <w:tc>
          <w:tcPr>
            <w:tcW w:w="1792" w:type="dxa"/>
            <w:tcBorders>
              <w:tl2br w:val="nil"/>
              <w:tr2bl w:val="nil"/>
            </w:tcBorders>
            <w:vAlign w:val="center"/>
          </w:tcPr>
          <w:p>
            <w:pPr>
              <w:jc w:val="both"/>
              <w:rPr>
                <w:rFonts w:ascii="Times New Roman" w:hAnsi="Times New Roman" w:cs="Times New Roman"/>
                <w:color w:val="FF0000"/>
                <w:szCs w:val="21"/>
              </w:rPr>
            </w:pPr>
            <w:r>
              <w:rPr>
                <w:rFonts w:ascii="Times New Roman" w:hAnsi="Times New Roman" w:cs="Times New Roman"/>
                <w:bCs/>
                <w:color w:val="auto"/>
                <w:szCs w:val="21"/>
              </w:rPr>
              <w:t>委托</w:t>
            </w:r>
            <w:r>
              <w:rPr>
                <w:rFonts w:hint="eastAsia" w:ascii="Times New Roman" w:hAnsi="Times New Roman" w:cs="Times New Roman"/>
                <w:bCs/>
                <w:color w:val="auto"/>
                <w:szCs w:val="21"/>
                <w:lang w:eastAsia="zh-CN"/>
              </w:rPr>
              <w:t>当地</w:t>
            </w:r>
            <w:r>
              <w:rPr>
                <w:rFonts w:ascii="Times New Roman" w:hAnsi="Times New Roman" w:cs="Times New Roman"/>
                <w:bCs/>
                <w:color w:val="auto"/>
                <w:szCs w:val="21"/>
              </w:rPr>
              <w:t>环卫部门统一处理</w:t>
            </w:r>
          </w:p>
        </w:tc>
        <w:tc>
          <w:tcPr>
            <w:tcW w:w="1925" w:type="dxa"/>
            <w:vMerge w:val="continue"/>
            <w:tcBorders>
              <w:tl2br w:val="nil"/>
              <w:tr2bl w:val="nil"/>
            </w:tcBorders>
            <w:vAlign w:val="center"/>
          </w:tcPr>
          <w:p>
            <w:pPr>
              <w:jc w:val="both"/>
              <w:rPr>
                <w:rFonts w:ascii="Times New Roman" w:hAnsi="Times New Roman" w:cs="Times New Roman"/>
                <w:color w:val="FF0000"/>
                <w:szCs w:val="21"/>
              </w:rPr>
            </w:pP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漆渣（湿）</w:t>
            </w:r>
          </w:p>
        </w:tc>
        <w:tc>
          <w:tcPr>
            <w:tcW w:w="86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4</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4</w:t>
            </w:r>
          </w:p>
        </w:tc>
        <w:tc>
          <w:tcPr>
            <w:tcW w:w="1792"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bCs/>
                <w:szCs w:val="21"/>
              </w:rPr>
              <w:t>委托镇江新宇固体废物处置有限公司安全处置</w:t>
            </w:r>
          </w:p>
        </w:tc>
        <w:tc>
          <w:tcPr>
            <w:tcW w:w="1925" w:type="dxa"/>
            <w:tcBorders>
              <w:tl2br w:val="nil"/>
              <w:tr2bl w:val="nil"/>
            </w:tcBorders>
            <w:vAlign w:val="center"/>
          </w:tcPr>
          <w:p>
            <w:pPr>
              <w:jc w:val="both"/>
              <w:rPr>
                <w:rFonts w:ascii="Times New Roman" w:hAnsi="Times New Roman" w:cs="Times New Roman"/>
                <w:szCs w:val="21"/>
              </w:rPr>
            </w:pPr>
            <w:r>
              <w:rPr>
                <w:rFonts w:ascii="Times New Roman" w:hAnsi="Times New Roman" w:cs="Times New Roman"/>
                <w:bCs/>
                <w:szCs w:val="21"/>
              </w:rPr>
              <w:t>委托镇江新宇固体废物处置有限公司安全处置</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废过滤毡</w:t>
            </w:r>
          </w:p>
        </w:tc>
        <w:tc>
          <w:tcPr>
            <w:tcW w:w="86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2.5</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w:t>
            </w:r>
          </w:p>
        </w:tc>
        <w:tc>
          <w:tcPr>
            <w:tcW w:w="1792" w:type="dxa"/>
            <w:vMerge w:val="continue"/>
            <w:tcBorders>
              <w:tl2br w:val="nil"/>
              <w:tr2bl w:val="nil"/>
            </w:tcBorders>
            <w:vAlign w:val="center"/>
          </w:tcPr>
          <w:p>
            <w:pPr>
              <w:jc w:val="both"/>
              <w:rPr>
                <w:rFonts w:ascii="Times New Roman" w:hAnsi="Times New Roman" w:cs="Times New Roman"/>
                <w:szCs w:val="21"/>
              </w:rPr>
            </w:pPr>
          </w:p>
        </w:tc>
        <w:tc>
          <w:tcPr>
            <w:tcW w:w="1925" w:type="dxa"/>
            <w:vMerge w:val="restart"/>
            <w:tcBorders>
              <w:tl2br w:val="nil"/>
              <w:tr2bl w:val="nil"/>
            </w:tcBorders>
            <w:vAlign w:val="center"/>
          </w:tcPr>
          <w:p>
            <w:pPr>
              <w:ind w:left="0" w:leftChars="0"/>
              <w:jc w:val="both"/>
              <w:rPr>
                <w:rFonts w:ascii="Times New Roman" w:hAnsi="Times New Roman" w:cs="Times New Roman"/>
                <w:szCs w:val="21"/>
              </w:rPr>
            </w:pPr>
            <w:r>
              <w:rPr>
                <w:rFonts w:ascii="Times New Roman" w:hAnsi="Times New Roman" w:cs="Times New Roman"/>
                <w:bCs/>
                <w:szCs w:val="21"/>
              </w:rPr>
              <w:t>委托</w:t>
            </w:r>
            <w:r>
              <w:rPr>
                <w:rFonts w:hint="eastAsia" w:ascii="Times New Roman" w:hAnsi="Times New Roman" w:cs="Times New Roman"/>
                <w:bCs/>
                <w:szCs w:val="21"/>
                <w:lang w:val="en-US" w:eastAsia="zh-CN"/>
              </w:rPr>
              <w:t>江苏鼎范环保服务有限公司</w:t>
            </w:r>
            <w:r>
              <w:rPr>
                <w:rFonts w:ascii="Times New Roman" w:hAnsi="Times New Roman" w:cs="Times New Roman"/>
                <w:bCs/>
                <w:szCs w:val="21"/>
              </w:rPr>
              <w:t>安全处置</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539"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废油漆桶</w:t>
            </w:r>
          </w:p>
        </w:tc>
        <w:tc>
          <w:tcPr>
            <w:tcW w:w="86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0.3</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0.3</w:t>
            </w:r>
          </w:p>
        </w:tc>
        <w:tc>
          <w:tcPr>
            <w:tcW w:w="1792" w:type="dxa"/>
            <w:vMerge w:val="continue"/>
            <w:tcBorders>
              <w:tl2br w:val="nil"/>
              <w:tr2bl w:val="nil"/>
            </w:tcBorders>
            <w:vAlign w:val="center"/>
          </w:tcPr>
          <w:p>
            <w:pPr>
              <w:jc w:val="center"/>
              <w:rPr>
                <w:rFonts w:ascii="Times New Roman" w:hAnsi="Times New Roman" w:cs="Times New Roman"/>
                <w:szCs w:val="21"/>
              </w:rPr>
            </w:pPr>
          </w:p>
        </w:tc>
        <w:tc>
          <w:tcPr>
            <w:tcW w:w="1925"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4" w:hRule="atLeast"/>
          <w:jc w:val="center"/>
        </w:trPr>
        <w:tc>
          <w:tcPr>
            <w:tcW w:w="154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水处理污泥</w:t>
            </w:r>
          </w:p>
        </w:tc>
        <w:tc>
          <w:tcPr>
            <w:tcW w:w="86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11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w:t>
            </w:r>
          </w:p>
        </w:tc>
        <w:tc>
          <w:tcPr>
            <w:tcW w:w="12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w:t>
            </w:r>
          </w:p>
        </w:tc>
        <w:tc>
          <w:tcPr>
            <w:tcW w:w="98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w:t>
            </w:r>
          </w:p>
        </w:tc>
        <w:tc>
          <w:tcPr>
            <w:tcW w:w="1792" w:type="dxa"/>
            <w:tcBorders>
              <w:tl2br w:val="nil"/>
              <w:tr2bl w:val="nil"/>
            </w:tcBorders>
            <w:vAlign w:val="center"/>
          </w:tcPr>
          <w:p>
            <w:pPr>
              <w:jc w:val="both"/>
              <w:rPr>
                <w:rFonts w:hint="default" w:ascii="Times New Roman" w:hAnsi="Times New Roman" w:cs="Times New Roman"/>
                <w:szCs w:val="21"/>
                <w:lang w:val="en-US"/>
              </w:rPr>
            </w:pPr>
            <w:r>
              <w:rPr>
                <w:rFonts w:hint="eastAsia" w:ascii="Times New Roman" w:hAnsi="Times New Roman" w:cs="Times New Roman"/>
                <w:szCs w:val="21"/>
              </w:rPr>
              <w:t>水处理污泥由美乐集团</w:t>
            </w:r>
            <w:r>
              <w:rPr>
                <w:rFonts w:hint="eastAsia" w:ascii="Times New Roman" w:hAnsi="Times New Roman" w:cs="Times New Roman"/>
                <w:szCs w:val="21"/>
                <w:lang w:eastAsia="zh-CN"/>
              </w:rPr>
              <w:t>委托</w:t>
            </w:r>
            <w:r>
              <w:rPr>
                <w:rFonts w:hint="eastAsia" w:ascii="Times New Roman" w:hAnsi="Times New Roman" w:cs="Times New Roman"/>
                <w:szCs w:val="21"/>
                <w:lang w:val="en-US" w:eastAsia="zh-CN"/>
              </w:rPr>
              <w:t>处置</w:t>
            </w:r>
          </w:p>
        </w:tc>
        <w:tc>
          <w:tcPr>
            <w:tcW w:w="1925" w:type="dxa"/>
            <w:tcBorders>
              <w:tl2br w:val="nil"/>
              <w:tr2bl w:val="nil"/>
            </w:tcBorders>
            <w:vAlign w:val="center"/>
          </w:tcPr>
          <w:p>
            <w:pPr>
              <w:jc w:val="both"/>
              <w:rPr>
                <w:rFonts w:hint="default" w:ascii="Times New Roman" w:hAnsi="Times New Roman" w:cs="Times New Roman"/>
                <w:szCs w:val="21"/>
                <w:lang w:val="en-US"/>
              </w:rPr>
            </w:pPr>
            <w:r>
              <w:rPr>
                <w:rFonts w:hint="eastAsia" w:ascii="Times New Roman" w:hAnsi="Times New Roman" w:cs="Times New Roman"/>
                <w:color w:val="auto"/>
                <w:szCs w:val="21"/>
              </w:rPr>
              <w:t>水处理污泥由美乐集团</w:t>
            </w:r>
            <w:r>
              <w:rPr>
                <w:rFonts w:hint="eastAsia" w:ascii="Times New Roman" w:hAnsi="Times New Roman" w:cs="Times New Roman"/>
                <w:color w:val="auto"/>
                <w:szCs w:val="21"/>
                <w:lang w:eastAsia="zh-CN"/>
              </w:rPr>
              <w:t>委托</w:t>
            </w:r>
            <w:r>
              <w:rPr>
                <w:rFonts w:hint="eastAsia" w:ascii="Times New Roman" w:hAnsi="Times New Roman" w:cs="Times New Roman"/>
                <w:color w:val="auto"/>
                <w:szCs w:val="21"/>
                <w:lang w:val="en-US" w:eastAsia="zh-CN"/>
              </w:rPr>
              <w:t>南通圣隆环保科技有限公司处置</w:t>
            </w:r>
          </w:p>
        </w:tc>
      </w:tr>
    </w:tbl>
    <w:p>
      <w:pPr>
        <w:spacing w:line="360" w:lineRule="auto"/>
        <w:outlineLvl w:val="1"/>
        <w:rPr>
          <w:rFonts w:ascii="Times New Roman" w:hAnsi="Times New Roman" w:cs="Times New Roman"/>
          <w:b/>
          <w:bCs/>
          <w:sz w:val="24"/>
        </w:rPr>
      </w:pPr>
      <w:bookmarkStart w:id="96" w:name="_Toc30493"/>
      <w:bookmarkStart w:id="97" w:name="_Toc31752"/>
      <w:bookmarkStart w:id="98" w:name="_Toc30155"/>
    </w:p>
    <w:p>
      <w:pPr>
        <w:spacing w:line="360" w:lineRule="auto"/>
        <w:outlineLvl w:val="1"/>
        <w:rPr>
          <w:rFonts w:ascii="Times New Roman" w:hAnsi="Times New Roman" w:cs="Times New Roman"/>
          <w:b/>
          <w:bCs/>
          <w:sz w:val="24"/>
        </w:rPr>
      </w:pPr>
      <w:bookmarkStart w:id="99" w:name="_Toc26417"/>
      <w:r>
        <w:rPr>
          <w:rFonts w:ascii="Times New Roman" w:hAnsi="Times New Roman" w:cs="Times New Roman"/>
          <w:b/>
          <w:bCs/>
          <w:sz w:val="24"/>
        </w:rPr>
        <w:t>4.2其他环保设施</w:t>
      </w:r>
      <w:bookmarkEnd w:id="96"/>
      <w:bookmarkEnd w:id="97"/>
      <w:bookmarkEnd w:id="98"/>
      <w:bookmarkEnd w:id="99"/>
    </w:p>
    <w:p>
      <w:pPr>
        <w:spacing w:line="360" w:lineRule="auto"/>
        <w:outlineLvl w:val="2"/>
        <w:rPr>
          <w:rFonts w:ascii="Times New Roman" w:hAnsi="Times New Roman" w:cs="Times New Roman"/>
          <w:b/>
          <w:sz w:val="24"/>
        </w:rPr>
      </w:pPr>
      <w:bookmarkStart w:id="100" w:name="_Toc30640"/>
      <w:r>
        <w:rPr>
          <w:rFonts w:ascii="Times New Roman" w:hAnsi="Times New Roman" w:cs="Times New Roman"/>
          <w:b/>
          <w:sz w:val="24"/>
        </w:rPr>
        <w:t>4.2.1环境风险防范设施</w:t>
      </w:r>
      <w:bookmarkEnd w:id="100"/>
    </w:p>
    <w:p>
      <w:pPr>
        <w:adjustRightInd w:val="0"/>
        <w:spacing w:line="360" w:lineRule="auto"/>
        <w:ind w:firstLine="480" w:firstLineChars="200"/>
        <w:rPr>
          <w:rFonts w:ascii="Times New Roman" w:hAnsi="Times New Roman" w:cs="Times New Roman"/>
          <w:color w:val="FF0000"/>
          <w:sz w:val="24"/>
        </w:rPr>
      </w:pPr>
      <w:r>
        <w:rPr>
          <w:rFonts w:ascii="Times New Roman" w:hAnsi="Times New Roman" w:cs="Times New Roman"/>
          <w:sz w:val="24"/>
        </w:rPr>
        <w:t>公司已编制应急预案并</w:t>
      </w:r>
      <w:r>
        <w:rPr>
          <w:rFonts w:hint="eastAsia" w:ascii="Times New Roman" w:hAnsi="Times New Roman" w:cs="Times New Roman"/>
          <w:sz w:val="24"/>
        </w:rPr>
        <w:t>在丹阳市</w:t>
      </w:r>
      <w:r>
        <w:rPr>
          <w:rFonts w:hint="eastAsia" w:ascii="Times New Roman" w:hAnsi="Times New Roman" w:cs="Times New Roman"/>
          <w:sz w:val="24"/>
          <w:lang w:eastAsia="zh-CN"/>
        </w:rPr>
        <w:t>环境</w:t>
      </w:r>
      <w:r>
        <w:rPr>
          <w:rFonts w:hint="eastAsia" w:ascii="Times New Roman" w:hAnsi="Times New Roman" w:cs="Times New Roman"/>
          <w:sz w:val="24"/>
        </w:rPr>
        <w:t>保护局</w:t>
      </w:r>
      <w:r>
        <w:rPr>
          <w:rFonts w:ascii="Times New Roman" w:hAnsi="Times New Roman" w:cs="Times New Roman"/>
          <w:sz w:val="24"/>
        </w:rPr>
        <w:t>备案（备案号：</w:t>
      </w:r>
      <w:r>
        <w:rPr>
          <w:rFonts w:hint="eastAsia" w:ascii="Times New Roman" w:hAnsi="Times New Roman" w:cs="Times New Roman"/>
          <w:sz w:val="24"/>
        </w:rPr>
        <w:t>321181-2018-021-L</w:t>
      </w:r>
      <w:r>
        <w:rPr>
          <w:rFonts w:ascii="Times New Roman" w:hAnsi="Times New Roman" w:cs="Times New Roman"/>
          <w:sz w:val="24"/>
        </w:rPr>
        <w:t>）。同时针对环境风险源，公司进行安全培训与应急演练，提高员工应对突发事件的应急能力。生产车间设置了消防和防护工具，</w:t>
      </w:r>
      <w:r>
        <w:rPr>
          <w:rFonts w:ascii="Times New Roman" w:hAnsi="Times New Roman" w:cs="Times New Roman"/>
          <w:color w:val="auto"/>
          <w:sz w:val="24"/>
        </w:rPr>
        <w:t>厂区建设1座</w:t>
      </w:r>
      <w:r>
        <w:rPr>
          <w:rFonts w:hint="eastAsia" w:ascii="Times New Roman" w:hAnsi="Times New Roman" w:cs="Times New Roman"/>
          <w:color w:val="auto"/>
          <w:sz w:val="24"/>
        </w:rPr>
        <w:t>80</w:t>
      </w:r>
      <w:r>
        <w:rPr>
          <w:rFonts w:ascii="Times New Roman" w:hAnsi="Times New Roman" w:cs="Times New Roman"/>
          <w:color w:val="auto"/>
          <w:sz w:val="24"/>
        </w:rPr>
        <w:t>m</w:t>
      </w:r>
      <w:r>
        <w:rPr>
          <w:rFonts w:ascii="Times New Roman" w:hAnsi="Times New Roman" w:cs="Times New Roman"/>
          <w:color w:val="auto"/>
          <w:sz w:val="24"/>
          <w:vertAlign w:val="superscript"/>
        </w:rPr>
        <w:t>3</w:t>
      </w:r>
      <w:r>
        <w:rPr>
          <w:rFonts w:ascii="Times New Roman" w:hAnsi="Times New Roman" w:cs="Times New Roman"/>
          <w:color w:val="auto"/>
          <w:sz w:val="24"/>
        </w:rPr>
        <w:t>事故池，</w:t>
      </w:r>
      <w:r>
        <w:rPr>
          <w:rFonts w:hint="eastAsia" w:ascii="Times New Roman" w:hAnsi="Times New Roman" w:cs="Times New Roman"/>
          <w:color w:val="auto"/>
          <w:sz w:val="24"/>
        </w:rPr>
        <w:t>美乐集团已建设545</w:t>
      </w:r>
      <w:r>
        <w:rPr>
          <w:rFonts w:ascii="Times New Roman" w:hAnsi="Times New Roman" w:cs="Times New Roman"/>
          <w:color w:val="auto"/>
          <w:sz w:val="24"/>
        </w:rPr>
        <w:t>m</w:t>
      </w:r>
      <w:r>
        <w:rPr>
          <w:rFonts w:ascii="Times New Roman" w:hAnsi="Times New Roman" w:cs="Times New Roman"/>
          <w:color w:val="auto"/>
          <w:sz w:val="24"/>
          <w:vertAlign w:val="superscript"/>
        </w:rPr>
        <w:t>3</w:t>
      </w:r>
      <w:r>
        <w:rPr>
          <w:rFonts w:hint="eastAsia" w:ascii="Times New Roman" w:hAnsi="Times New Roman" w:cs="Times New Roman"/>
          <w:color w:val="auto"/>
          <w:sz w:val="24"/>
        </w:rPr>
        <w:t>的消防</w:t>
      </w:r>
      <w:r>
        <w:rPr>
          <w:rFonts w:hint="eastAsia" w:ascii="Times New Roman" w:hAnsi="Times New Roman" w:cs="Times New Roman"/>
          <w:color w:val="auto"/>
          <w:sz w:val="24"/>
          <w:lang w:val="en-US" w:eastAsia="zh-CN"/>
        </w:rPr>
        <w:t>水</w:t>
      </w:r>
      <w:r>
        <w:rPr>
          <w:rFonts w:hint="eastAsia" w:ascii="Times New Roman" w:hAnsi="Times New Roman" w:cs="Times New Roman"/>
          <w:color w:val="auto"/>
          <w:sz w:val="24"/>
        </w:rPr>
        <w:t>池，本项目的消防水依托该应急池</w:t>
      </w:r>
      <w:r>
        <w:rPr>
          <w:rFonts w:ascii="Times New Roman" w:hAnsi="Times New Roman" w:cs="Times New Roman"/>
          <w:color w:val="auto"/>
          <w:sz w:val="24"/>
        </w:rPr>
        <w:t>。</w:t>
      </w:r>
    </w:p>
    <w:p>
      <w:pPr>
        <w:adjustRightInd w:val="0"/>
        <w:spacing w:line="360" w:lineRule="auto"/>
        <w:outlineLvl w:val="2"/>
        <w:rPr>
          <w:rFonts w:ascii="Times New Roman" w:hAnsi="Times New Roman" w:cs="Times New Roman"/>
          <w:b/>
          <w:sz w:val="24"/>
        </w:rPr>
      </w:pPr>
      <w:bookmarkStart w:id="101" w:name="_Toc32381"/>
      <w:r>
        <w:rPr>
          <w:rFonts w:ascii="Times New Roman" w:hAnsi="Times New Roman" w:cs="Times New Roman"/>
          <w:b/>
          <w:sz w:val="24"/>
        </w:rPr>
        <w:t>4.2.</w:t>
      </w:r>
      <w:r>
        <w:rPr>
          <w:rFonts w:hint="eastAsia" w:ascii="Times New Roman" w:hAnsi="Times New Roman" w:cs="Times New Roman"/>
          <w:b/>
          <w:sz w:val="24"/>
          <w:lang w:val="en-US" w:eastAsia="zh-CN"/>
        </w:rPr>
        <w:t>2</w:t>
      </w:r>
      <w:r>
        <w:rPr>
          <w:rFonts w:ascii="Times New Roman" w:hAnsi="Times New Roman" w:cs="Times New Roman"/>
          <w:b/>
          <w:sz w:val="24"/>
        </w:rPr>
        <w:t>其他设施</w:t>
      </w:r>
      <w:bookmarkEnd w:id="101"/>
    </w:p>
    <w:p>
      <w:pPr>
        <w:pStyle w:val="7"/>
        <w:widowControl/>
        <w:adjustRightInd w:val="0"/>
        <w:snapToGrid w:val="0"/>
        <w:spacing w:line="360" w:lineRule="auto"/>
        <w:ind w:firstLine="466" w:firstLineChars="221"/>
        <w:jc w:val="center"/>
        <w:rPr>
          <w:rFonts w:ascii="Times New Roman" w:hAnsi="Times New Roman" w:cs="Times New Roman"/>
          <w:b/>
          <w:sz w:val="21"/>
          <w:szCs w:val="21"/>
        </w:rPr>
      </w:pPr>
      <w:r>
        <w:t>表</w:t>
      </w:r>
      <w:r>
        <w:rPr>
          <w:rFonts w:hint="eastAsia"/>
          <w:lang w:eastAsia="zh-CN"/>
        </w:rPr>
        <w:t>4-4  其他设施建设情况</w:t>
      </w:r>
    </w:p>
    <w:tbl>
      <w:tblPr>
        <w:tblStyle w:val="23"/>
        <w:tblW w:w="9084" w:type="dxa"/>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05"/>
        <w:gridCol w:w="1200"/>
        <w:gridCol w:w="4301"/>
        <w:gridCol w:w="2978"/>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trPr>
        <w:tc>
          <w:tcPr>
            <w:tcW w:w="605"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hAnsi="Times New Roman" w:cs="Times New Roman"/>
                <w:b/>
                <w:bCs/>
                <w:szCs w:val="21"/>
              </w:rPr>
              <w:t>序号</w:t>
            </w:r>
          </w:p>
        </w:tc>
        <w:tc>
          <w:tcPr>
            <w:tcW w:w="1200"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hAnsi="Times New Roman" w:cs="Times New Roman"/>
                <w:b/>
                <w:bCs/>
                <w:szCs w:val="21"/>
              </w:rPr>
              <w:t>项目</w:t>
            </w:r>
          </w:p>
        </w:tc>
        <w:tc>
          <w:tcPr>
            <w:tcW w:w="4301"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hAnsi="Times New Roman" w:cs="Times New Roman"/>
                <w:b/>
                <w:bCs/>
                <w:szCs w:val="21"/>
              </w:rPr>
              <w:t>环评及批复内容</w:t>
            </w:r>
          </w:p>
        </w:tc>
        <w:tc>
          <w:tcPr>
            <w:tcW w:w="2978" w:type="dxa"/>
            <w:tcBorders>
              <w:tl2br w:val="nil"/>
              <w:tr2bl w:val="nil"/>
            </w:tcBorders>
            <w:vAlign w:val="center"/>
          </w:tcPr>
          <w:p>
            <w:pPr>
              <w:widowControl/>
              <w:adjustRightInd w:val="0"/>
              <w:snapToGrid w:val="0"/>
              <w:jc w:val="center"/>
              <w:rPr>
                <w:rFonts w:ascii="Times New Roman" w:hAnsi="Times New Roman" w:cs="Times New Roman"/>
                <w:b/>
                <w:bCs/>
                <w:szCs w:val="21"/>
              </w:rPr>
            </w:pPr>
            <w:r>
              <w:rPr>
                <w:rFonts w:ascii="Times New Roman" w:hAnsi="Times New Roman" w:cs="Times New Roman"/>
                <w:b/>
                <w:bCs/>
                <w:szCs w:val="21"/>
              </w:rPr>
              <w:t>实际建设情况</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1" w:hRule="atLeast"/>
        </w:trPr>
        <w:tc>
          <w:tcPr>
            <w:tcW w:w="605"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1</w:t>
            </w:r>
          </w:p>
        </w:tc>
        <w:tc>
          <w:tcPr>
            <w:tcW w:w="120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以新带老改造工程</w:t>
            </w:r>
          </w:p>
        </w:tc>
        <w:tc>
          <w:tcPr>
            <w:tcW w:w="4301" w:type="dxa"/>
            <w:tcBorders>
              <w:tl2br w:val="nil"/>
              <w:tr2bl w:val="nil"/>
            </w:tcBorders>
            <w:vAlign w:val="center"/>
          </w:tcPr>
          <w:p>
            <w:pPr>
              <w:pStyle w:val="6"/>
              <w:ind w:firstLine="0"/>
              <w:jc w:val="center"/>
              <w:rPr>
                <w:rFonts w:cs="Times New Roman"/>
              </w:rPr>
            </w:pPr>
            <w:r>
              <w:rPr>
                <w:rFonts w:cs="Times New Roman"/>
              </w:rPr>
              <w:t>/</w:t>
            </w:r>
          </w:p>
        </w:tc>
        <w:tc>
          <w:tcPr>
            <w:tcW w:w="2978"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02" w:hRule="atLeast"/>
        </w:trPr>
        <w:tc>
          <w:tcPr>
            <w:tcW w:w="605"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120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污染物排放口规范化工程</w:t>
            </w:r>
          </w:p>
        </w:tc>
        <w:tc>
          <w:tcPr>
            <w:tcW w:w="4301" w:type="dxa"/>
            <w:tcBorders>
              <w:tl2br w:val="nil"/>
              <w:tr2bl w:val="nil"/>
            </w:tcBorders>
            <w:vAlign w:val="center"/>
          </w:tcPr>
          <w:p>
            <w:pPr>
              <w:widowControl/>
              <w:adjustRightInd w:val="0"/>
              <w:snapToGrid w:val="0"/>
              <w:rPr>
                <w:rFonts w:ascii="Times New Roman" w:hAnsi="Times New Roman" w:cs="Times New Roman"/>
                <w:szCs w:val="21"/>
              </w:rPr>
            </w:pPr>
            <w:r>
              <w:rPr>
                <w:rFonts w:ascii="Times New Roman" w:hAnsi="Times New Roman" w:cs="Times New Roman"/>
                <w:szCs w:val="21"/>
              </w:rPr>
              <w:t>根据《江苏省排污口设置及规范化整治管理办法》(苏环控[1997]122号文)的要求设置排污口</w:t>
            </w:r>
          </w:p>
        </w:tc>
        <w:tc>
          <w:tcPr>
            <w:tcW w:w="2978" w:type="dxa"/>
            <w:tcBorders>
              <w:tl2br w:val="nil"/>
              <w:tr2bl w:val="nil"/>
            </w:tcBorders>
            <w:vAlign w:val="center"/>
          </w:tcPr>
          <w:p>
            <w:pPr>
              <w:widowControl/>
              <w:adjustRightInd w:val="0"/>
              <w:snapToGrid w:val="0"/>
              <w:rPr>
                <w:rFonts w:ascii="Times New Roman" w:hAnsi="Times New Roman" w:cs="Times New Roman"/>
                <w:szCs w:val="21"/>
              </w:rPr>
            </w:pPr>
            <w:r>
              <w:rPr>
                <w:rFonts w:ascii="Times New Roman" w:hAnsi="Times New Roman" w:cs="Times New Roman"/>
                <w:szCs w:val="21"/>
              </w:rPr>
              <w:t>排污口设置采样口、在线</w:t>
            </w:r>
            <w:r>
              <w:rPr>
                <w:rFonts w:hint="eastAsia" w:ascii="Times New Roman" w:hAnsi="Times New Roman" w:cs="Times New Roman"/>
                <w:szCs w:val="21"/>
                <w:lang w:val="en-US" w:eastAsia="zh-CN"/>
              </w:rPr>
              <w:t>监测设备</w:t>
            </w:r>
            <w:r>
              <w:rPr>
                <w:rFonts w:ascii="Times New Roman" w:hAnsi="Times New Roman" w:cs="Times New Roman"/>
                <w:szCs w:val="21"/>
              </w:rPr>
              <w:t>、标识牌等。</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trPr>
        <w:tc>
          <w:tcPr>
            <w:tcW w:w="605"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3</w:t>
            </w:r>
          </w:p>
        </w:tc>
        <w:tc>
          <w:tcPr>
            <w:tcW w:w="1200"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ascii="Times New Roman" w:hAnsi="Times New Roman" w:cs="Times New Roman"/>
                <w:szCs w:val="21"/>
              </w:rPr>
              <w:t>绿化工程</w:t>
            </w:r>
          </w:p>
        </w:tc>
        <w:tc>
          <w:tcPr>
            <w:tcW w:w="4301"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新增200m</w:t>
            </w:r>
            <w:r>
              <w:rPr>
                <w:rFonts w:hint="eastAsia" w:ascii="Times New Roman" w:hAnsi="Times New Roman" w:cs="Times New Roman"/>
                <w:szCs w:val="21"/>
                <w:vertAlign w:val="superscript"/>
              </w:rPr>
              <w:t>2</w:t>
            </w:r>
            <w:r>
              <w:rPr>
                <w:rFonts w:hint="eastAsia" w:ascii="Times New Roman" w:hAnsi="Times New Roman" w:cs="Times New Roman"/>
                <w:szCs w:val="21"/>
              </w:rPr>
              <w:t>绿化面积</w:t>
            </w:r>
          </w:p>
        </w:tc>
        <w:tc>
          <w:tcPr>
            <w:tcW w:w="2978" w:type="dxa"/>
            <w:tcBorders>
              <w:tl2br w:val="nil"/>
              <w:tr2bl w:val="nil"/>
            </w:tcBorders>
            <w:vAlign w:val="center"/>
          </w:tcPr>
          <w:p>
            <w:pPr>
              <w:widowControl/>
              <w:adjustRightInd w:val="0"/>
              <w:snapToGrid w:val="0"/>
              <w:jc w:val="center"/>
              <w:rPr>
                <w:rFonts w:ascii="Times New Roman" w:hAnsi="Times New Roman" w:cs="Times New Roman"/>
                <w:szCs w:val="21"/>
              </w:rPr>
            </w:pPr>
            <w:r>
              <w:rPr>
                <w:rFonts w:hint="eastAsia" w:ascii="Times New Roman" w:hAnsi="Times New Roman" w:cs="Times New Roman"/>
                <w:szCs w:val="21"/>
              </w:rPr>
              <w:t>200m</w:t>
            </w:r>
            <w:r>
              <w:rPr>
                <w:rFonts w:hint="eastAsia" w:ascii="Times New Roman" w:hAnsi="Times New Roman" w:cs="Times New Roman"/>
                <w:szCs w:val="21"/>
                <w:vertAlign w:val="superscript"/>
              </w:rPr>
              <w:t>2</w:t>
            </w:r>
            <w:r>
              <w:rPr>
                <w:rFonts w:hint="eastAsia" w:ascii="Times New Roman" w:hAnsi="Times New Roman" w:cs="Times New Roman"/>
                <w:szCs w:val="21"/>
              </w:rPr>
              <w:t>绿化面积</w:t>
            </w:r>
          </w:p>
        </w:tc>
      </w:tr>
    </w:tbl>
    <w:p>
      <w:pPr>
        <w:pStyle w:val="6"/>
        <w:adjustRightInd w:val="0"/>
        <w:ind w:firstLine="0"/>
        <w:textAlignment w:val="baseline"/>
        <w:rPr>
          <w:color w:val="FF0000"/>
          <w:sz w:val="18"/>
          <w:szCs w:val="18"/>
        </w:rPr>
        <w:sectPr>
          <w:pgSz w:w="11906" w:h="16838"/>
          <w:pgMar w:top="1474" w:right="1474" w:bottom="1474" w:left="1474" w:header="851" w:footer="992" w:gutter="0"/>
          <w:cols w:space="720" w:num="1"/>
          <w:docGrid w:type="lines" w:linePitch="312" w:charSpace="0"/>
        </w:sectPr>
      </w:pPr>
    </w:p>
    <w:p>
      <w:pPr>
        <w:adjustRightInd w:val="0"/>
        <w:snapToGrid w:val="0"/>
        <w:spacing w:line="400" w:lineRule="exact"/>
        <w:outlineLvl w:val="1"/>
        <w:rPr>
          <w:rFonts w:ascii="Times New Roman" w:hAnsi="Times New Roman" w:eastAsia="仿宋_GB2312"/>
          <w:b/>
          <w:bCs/>
          <w:sz w:val="24"/>
        </w:rPr>
      </w:pPr>
      <w:bookmarkStart w:id="102" w:name="_Toc12847"/>
      <w:bookmarkStart w:id="103" w:name="_Toc9813"/>
      <w:r>
        <w:rPr>
          <w:rFonts w:ascii="Times New Roman" w:eastAsia="宋体"/>
          <w:b/>
          <w:bCs/>
          <w:sz w:val="24"/>
        </w:rPr>
        <w:t>4.3环保设施投资及“三同时”落实情况</w:t>
      </w:r>
      <w:bookmarkEnd w:id="102"/>
      <w:bookmarkEnd w:id="103"/>
    </w:p>
    <w:p>
      <w:pPr>
        <w:pStyle w:val="7"/>
        <w:bidi w:val="0"/>
        <w:rPr>
          <w:rFonts w:hint="eastAsia"/>
          <w:lang w:eastAsia="zh-CN"/>
        </w:rPr>
      </w:pPr>
      <w:r>
        <w:t>表</w:t>
      </w:r>
      <w:r>
        <w:rPr>
          <w:rFonts w:hint="eastAsia"/>
          <w:lang w:eastAsia="zh-CN"/>
        </w:rPr>
        <w:t>4-5  项目环境保护设施“三同时”一览表</w:t>
      </w:r>
    </w:p>
    <w:tbl>
      <w:tblPr>
        <w:tblStyle w:val="23"/>
        <w:tblW w:w="13427" w:type="dxa"/>
        <w:jc w:val="center"/>
        <w:tblInd w:w="-969"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707"/>
        <w:gridCol w:w="1274"/>
        <w:gridCol w:w="1987"/>
        <w:gridCol w:w="3685"/>
        <w:gridCol w:w="1056"/>
        <w:gridCol w:w="2793"/>
        <w:gridCol w:w="925"/>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类别</w:t>
            </w:r>
          </w:p>
        </w:tc>
        <w:tc>
          <w:tcPr>
            <w:tcW w:w="1274"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污染源</w:t>
            </w:r>
          </w:p>
        </w:tc>
        <w:tc>
          <w:tcPr>
            <w:tcW w:w="1987"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污染物</w:t>
            </w:r>
          </w:p>
        </w:tc>
        <w:tc>
          <w:tcPr>
            <w:tcW w:w="3685"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环评设计治理措施</w:t>
            </w:r>
          </w:p>
          <w:p>
            <w:pPr>
              <w:adjustRightInd w:val="0"/>
              <w:snapToGrid w:val="0"/>
              <w:jc w:val="center"/>
              <w:rPr>
                <w:rFonts w:ascii="Times New Roman" w:hAnsi="Times New Roman" w:cs="Times New Roman"/>
                <w:b/>
                <w:bCs/>
                <w:szCs w:val="21"/>
              </w:rPr>
            </w:pPr>
            <w:r>
              <w:rPr>
                <w:rFonts w:ascii="Times New Roman" w:hAnsi="Times New Roman" w:cs="Times New Roman"/>
                <w:b/>
                <w:bCs/>
                <w:szCs w:val="21"/>
              </w:rPr>
              <w:t>（设施数目、规模、处理能力等）</w:t>
            </w:r>
          </w:p>
        </w:tc>
        <w:tc>
          <w:tcPr>
            <w:tcW w:w="1056"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环保投资</w:t>
            </w:r>
          </w:p>
          <w:p>
            <w:pPr>
              <w:adjustRightInd w:val="0"/>
              <w:snapToGrid w:val="0"/>
              <w:jc w:val="center"/>
              <w:rPr>
                <w:rFonts w:ascii="Times New Roman" w:hAnsi="Times New Roman" w:cs="Times New Roman"/>
                <w:b/>
                <w:bCs/>
                <w:szCs w:val="21"/>
              </w:rPr>
            </w:pPr>
            <w:r>
              <w:rPr>
                <w:rFonts w:ascii="Times New Roman" w:hAnsi="Times New Roman" w:cs="Times New Roman"/>
                <w:b/>
                <w:bCs/>
                <w:szCs w:val="21"/>
              </w:rPr>
              <w:t>（万元）</w:t>
            </w:r>
          </w:p>
        </w:tc>
        <w:tc>
          <w:tcPr>
            <w:tcW w:w="2793"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实际建设治理措施</w:t>
            </w:r>
          </w:p>
        </w:tc>
        <w:tc>
          <w:tcPr>
            <w:tcW w:w="925" w:type="dxa"/>
            <w:tcBorders>
              <w:tl2br w:val="nil"/>
              <w:tr2bl w:val="nil"/>
            </w:tcBorders>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环保投资</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废气</w:t>
            </w: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抛丸粉尘</w:t>
            </w:r>
          </w:p>
        </w:tc>
        <w:tc>
          <w:tcPr>
            <w:tcW w:w="1987" w:type="dxa"/>
            <w:tcBorders>
              <w:tl2br w:val="nil"/>
              <w:tr2bl w:val="nil"/>
            </w:tcBorders>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颗粒物</w:t>
            </w:r>
          </w:p>
        </w:tc>
        <w:tc>
          <w:tcPr>
            <w:tcW w:w="3685" w:type="dxa"/>
            <w:tcBorders>
              <w:tl2br w:val="nil"/>
              <w:tr2bl w:val="nil"/>
            </w:tcBorders>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自带吸尘器</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设备自带</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调漆喷漆废气</w:t>
            </w:r>
          </w:p>
        </w:tc>
        <w:tc>
          <w:tcPr>
            <w:tcW w:w="1987"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VOCs、乙酸丁酯、丁醇、颗粒物</w:t>
            </w:r>
          </w:p>
        </w:tc>
        <w:tc>
          <w:tcPr>
            <w:tcW w:w="3685"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“水喷淋+UV光催化</w:t>
            </w:r>
            <w:r>
              <w:rPr>
                <w:rFonts w:hint="default" w:ascii="Times New Roman" w:hAnsi="Times New Roman" w:cs="Times New Roman"/>
                <w:szCs w:val="21"/>
                <w:lang w:val="en-US" w:eastAsia="zh-CN"/>
              </w:rPr>
              <w:t>”</w:t>
            </w:r>
            <w:r>
              <w:rPr>
                <w:rFonts w:ascii="Times New Roman" w:hAnsi="Times New Roman" w:cs="Times New Roman"/>
                <w:szCs w:val="21"/>
              </w:rPr>
              <w:t>装置2套+15m高排气筒1根</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82</w:t>
            </w:r>
          </w:p>
        </w:tc>
        <w:tc>
          <w:tcPr>
            <w:tcW w:w="2793"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“水喷淋</w:t>
            </w:r>
            <w:r>
              <w:rPr>
                <w:rFonts w:hint="default" w:ascii="Times New Roman" w:hAnsi="Times New Roman" w:cs="Times New Roman"/>
                <w:szCs w:val="21"/>
                <w:lang w:val="en-US" w:eastAsia="zh-CN"/>
              </w:rPr>
              <w:t>”</w:t>
            </w:r>
            <w:r>
              <w:rPr>
                <w:rFonts w:ascii="Times New Roman" w:hAnsi="Times New Roman" w:cs="Times New Roman"/>
                <w:szCs w:val="21"/>
              </w:rPr>
              <w:t>装置</w:t>
            </w:r>
            <w:r>
              <w:rPr>
                <w:rFonts w:hint="eastAsia" w:ascii="Times New Roman" w:hAnsi="Times New Roman" w:cs="Times New Roman"/>
                <w:szCs w:val="21"/>
                <w:lang w:val="en-US" w:eastAsia="zh-CN"/>
              </w:rPr>
              <w:t>3</w:t>
            </w:r>
            <w:r>
              <w:rPr>
                <w:rFonts w:ascii="Times New Roman" w:hAnsi="Times New Roman" w:cs="Times New Roman"/>
                <w:szCs w:val="21"/>
              </w:rPr>
              <w:t>套+“</w:t>
            </w:r>
            <w:r>
              <w:rPr>
                <w:rFonts w:hint="eastAsia" w:ascii="Times New Roman" w:hAnsi="Times New Roman" w:cs="Times New Roman"/>
                <w:szCs w:val="21"/>
                <w:lang w:val="en-US" w:eastAsia="zh-CN"/>
              </w:rPr>
              <w:t>UV光催化</w:t>
            </w:r>
            <w:r>
              <w:rPr>
                <w:rFonts w:hint="default" w:ascii="Times New Roman" w:hAnsi="Times New Roman" w:cs="Times New Roman"/>
                <w:szCs w:val="21"/>
                <w:lang w:val="en-US" w:eastAsia="zh-CN"/>
              </w:rPr>
              <w:t>”</w:t>
            </w:r>
            <w:r>
              <w:rPr>
                <w:rFonts w:hint="eastAsia" w:ascii="Times New Roman" w:hAnsi="Times New Roman" w:cs="Times New Roman"/>
                <w:szCs w:val="21"/>
                <w:lang w:val="en-US" w:eastAsia="zh-CN"/>
              </w:rPr>
              <w:t>装置1套+</w:t>
            </w:r>
            <w:r>
              <w:rPr>
                <w:rFonts w:ascii="Times New Roman" w:hAnsi="Times New Roman" w:cs="Times New Roman"/>
                <w:szCs w:val="21"/>
              </w:rPr>
              <w:t>15m高排气筒</w:t>
            </w:r>
            <w:r>
              <w:rPr>
                <w:rFonts w:hint="eastAsia" w:ascii="Times New Roman" w:hAnsi="Times New Roman" w:cs="Times New Roman"/>
                <w:szCs w:val="21"/>
              </w:rPr>
              <w:t>1</w:t>
            </w:r>
            <w:r>
              <w:rPr>
                <w:rFonts w:ascii="Times New Roman" w:hAnsi="Times New Roman" w:cs="Times New Roman"/>
                <w:szCs w:val="21"/>
              </w:rPr>
              <w:t>根</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70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流平</w:t>
            </w:r>
            <w:r>
              <w:rPr>
                <w:rFonts w:ascii="Times New Roman" w:hAnsi="Times New Roman" w:cs="Times New Roman"/>
                <w:szCs w:val="21"/>
              </w:rPr>
              <w:t>烘干废气</w:t>
            </w:r>
          </w:p>
        </w:tc>
        <w:tc>
          <w:tcPr>
            <w:tcW w:w="1987"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VOCs、乙酸丁酯、丁醇、颗粒物</w:t>
            </w:r>
          </w:p>
        </w:tc>
        <w:tc>
          <w:tcPr>
            <w:tcW w:w="368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与调漆喷漆废气合并排放</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c>
          <w:tcPr>
            <w:tcW w:w="2793"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“水喷淋+UV光催化“装置</w:t>
            </w:r>
            <w:r>
              <w:rPr>
                <w:rFonts w:hint="eastAsia" w:ascii="Times New Roman" w:hAnsi="Times New Roman" w:cs="Times New Roman"/>
                <w:szCs w:val="21"/>
              </w:rPr>
              <w:t>1</w:t>
            </w:r>
            <w:r>
              <w:rPr>
                <w:rFonts w:ascii="Times New Roman" w:hAnsi="Times New Roman" w:cs="Times New Roman"/>
                <w:szCs w:val="21"/>
              </w:rPr>
              <w:t>套+15m高排气筒</w:t>
            </w:r>
            <w:r>
              <w:rPr>
                <w:rFonts w:hint="eastAsia" w:ascii="Times New Roman" w:hAnsi="Times New Roman" w:cs="Times New Roman"/>
                <w:szCs w:val="21"/>
              </w:rPr>
              <w:t>1</w:t>
            </w:r>
            <w:r>
              <w:rPr>
                <w:rFonts w:ascii="Times New Roman" w:hAnsi="Times New Roman" w:cs="Times New Roman"/>
                <w:szCs w:val="21"/>
              </w:rPr>
              <w:t>根</w:t>
            </w:r>
          </w:p>
        </w:tc>
        <w:tc>
          <w:tcPr>
            <w:tcW w:w="925" w:type="dxa"/>
            <w:tcBorders>
              <w:tl2br w:val="nil"/>
              <w:tr2bl w:val="nil"/>
            </w:tcBorders>
            <w:vAlign w:val="center"/>
          </w:tcPr>
          <w:p>
            <w:pPr>
              <w:adjustRightInd w:val="0"/>
              <w:snapToGrid w:val="0"/>
              <w:jc w:val="center"/>
              <w:rPr>
                <w:rFonts w:hint="eastAsia" w:ascii="Times New Roman" w:hAnsi="Times New Roman" w:cs="Times New Roman"/>
                <w:szCs w:val="21"/>
              </w:rPr>
            </w:pPr>
            <w:r>
              <w:rPr>
                <w:rFonts w:hint="eastAsia" w:ascii="Times New Roman" w:hAnsi="Times New Roman" w:cs="Times New Roman"/>
                <w:szCs w:val="21"/>
              </w:rPr>
              <w:t>40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烘干燃气废气</w:t>
            </w:r>
          </w:p>
        </w:tc>
        <w:tc>
          <w:tcPr>
            <w:tcW w:w="198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hAnsi="Times New Roman" w:cs="Times New Roman"/>
                <w:szCs w:val="21"/>
              </w:rPr>
              <w:t>、烟尘、NO</w:t>
            </w:r>
            <w:r>
              <w:rPr>
                <w:rFonts w:ascii="Times New Roman" w:hAnsi="Times New Roman" w:cs="Times New Roman"/>
                <w:szCs w:val="21"/>
                <w:vertAlign w:val="subscript"/>
              </w:rPr>
              <w:t>x</w:t>
            </w:r>
          </w:p>
        </w:tc>
        <w:tc>
          <w:tcPr>
            <w:tcW w:w="3685"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15m高排气筒4根</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设备自带</w:t>
            </w:r>
          </w:p>
        </w:tc>
        <w:tc>
          <w:tcPr>
            <w:tcW w:w="2793" w:type="dxa"/>
            <w:tcBorders>
              <w:tl2br w:val="nil"/>
              <w:tr2bl w:val="nil"/>
            </w:tcBorders>
            <w:vAlign w:val="center"/>
          </w:tcPr>
          <w:p>
            <w:pPr>
              <w:adjustRightInd w:val="0"/>
              <w:snapToGrid w:val="0"/>
              <w:rPr>
                <w:rFonts w:ascii="Times New Roman" w:hAnsi="Times New Roman" w:cs="Times New Roman"/>
                <w:szCs w:val="21"/>
              </w:rPr>
            </w:pPr>
            <w:r>
              <w:rPr>
                <w:rFonts w:hint="eastAsia" w:ascii="Times New Roman" w:hAnsi="Times New Roman" w:cs="Times New Roman"/>
                <w:szCs w:val="21"/>
              </w:rPr>
              <w:t>与流平烘干废气合并</w:t>
            </w:r>
            <w:r>
              <w:rPr>
                <w:rFonts w:hint="eastAsia" w:ascii="Times New Roman" w:hAnsi="Times New Roman" w:cs="Times New Roman"/>
                <w:szCs w:val="21"/>
                <w:lang w:val="en-US" w:eastAsia="zh-CN"/>
              </w:rPr>
              <w:t>处理</w:t>
            </w:r>
            <w:r>
              <w:rPr>
                <w:rFonts w:hint="eastAsia" w:ascii="Times New Roman" w:hAnsi="Times New Roman" w:cs="Times New Roman"/>
                <w:szCs w:val="21"/>
              </w:rPr>
              <w:t>排放</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废水</w:t>
            </w: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生产废水</w:t>
            </w:r>
          </w:p>
        </w:tc>
        <w:tc>
          <w:tcPr>
            <w:tcW w:w="198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COD、SS、石油类</w:t>
            </w:r>
          </w:p>
        </w:tc>
        <w:tc>
          <w:tcPr>
            <w:tcW w:w="3685"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依托美乐集团污水处理站处理</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依托处理</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生活污水</w:t>
            </w:r>
          </w:p>
        </w:tc>
        <w:tc>
          <w:tcPr>
            <w:tcW w:w="1987"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COD、SS、氨氮、总磷、动植物油</w:t>
            </w:r>
          </w:p>
        </w:tc>
        <w:tc>
          <w:tcPr>
            <w:tcW w:w="3685" w:type="dxa"/>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依托美乐集团化粪池预处理后接管至司徒污水处理厂</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依托处理</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噪声</w:t>
            </w:r>
          </w:p>
        </w:tc>
        <w:tc>
          <w:tcPr>
            <w:tcW w:w="1274"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设备噪声</w:t>
            </w:r>
          </w:p>
        </w:tc>
        <w:tc>
          <w:tcPr>
            <w:tcW w:w="198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等效连续A声级</w:t>
            </w:r>
          </w:p>
        </w:tc>
        <w:tc>
          <w:tcPr>
            <w:tcW w:w="3685"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低噪声设备；建筑物隔声；设备减震等</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5</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固废</w:t>
            </w:r>
          </w:p>
        </w:tc>
        <w:tc>
          <w:tcPr>
            <w:tcW w:w="3261" w:type="dxa"/>
            <w:gridSpan w:val="2"/>
            <w:tcBorders>
              <w:tl2br w:val="nil"/>
              <w:tr2bl w:val="nil"/>
            </w:tcBorders>
            <w:vAlign w:val="center"/>
          </w:tcPr>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生产过程产生的所有固废</w:t>
            </w:r>
          </w:p>
        </w:tc>
        <w:tc>
          <w:tcPr>
            <w:tcW w:w="3685" w:type="dxa"/>
            <w:tcBorders>
              <w:tl2br w:val="nil"/>
              <w:tr2bl w:val="nil"/>
            </w:tcBorders>
            <w:vAlign w:val="center"/>
          </w:tcPr>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固废堆场暂存，委外安全处置</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10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地下水及土壤</w:t>
            </w:r>
          </w:p>
          <w:p>
            <w:pPr>
              <w:adjustRightInd w:val="0"/>
              <w:snapToGrid w:val="0"/>
              <w:jc w:val="center"/>
              <w:rPr>
                <w:rFonts w:ascii="Times New Roman" w:hAnsi="Times New Roman" w:cs="Times New Roman"/>
                <w:szCs w:val="21"/>
              </w:rPr>
            </w:pPr>
            <w:r>
              <w:rPr>
                <w:rFonts w:ascii="Times New Roman" w:hAnsi="Times New Roman" w:cs="Times New Roman"/>
                <w:szCs w:val="21"/>
              </w:rPr>
              <w:t>污染防治</w:t>
            </w:r>
          </w:p>
        </w:tc>
        <w:tc>
          <w:tcPr>
            <w:tcW w:w="3261" w:type="dxa"/>
            <w:gridSpan w:val="2"/>
            <w:tcBorders>
              <w:tl2br w:val="nil"/>
              <w:tr2bl w:val="nil"/>
            </w:tcBorders>
            <w:vAlign w:val="center"/>
          </w:tcPr>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w:t>
            </w:r>
          </w:p>
        </w:tc>
        <w:tc>
          <w:tcPr>
            <w:tcW w:w="3685" w:type="dxa"/>
            <w:tcBorders>
              <w:tl2br w:val="nil"/>
              <w:tr2bl w:val="nil"/>
            </w:tcBorders>
            <w:vAlign w:val="center"/>
          </w:tcPr>
          <w:p>
            <w:pPr>
              <w:adjustRightInd w:val="0"/>
              <w:snapToGrid w:val="0"/>
              <w:spacing w:line="240" w:lineRule="exact"/>
              <w:jc w:val="both"/>
              <w:rPr>
                <w:rFonts w:ascii="Times New Roman" w:hAnsi="Times New Roman" w:cs="Times New Roman"/>
                <w:szCs w:val="21"/>
              </w:rPr>
            </w:pPr>
            <w:r>
              <w:rPr>
                <w:rFonts w:ascii="Times New Roman" w:hAnsi="Times New Roman" w:cs="Times New Roman"/>
                <w:szCs w:val="21"/>
              </w:rPr>
              <w:t>分区防渗，污水管道、危化品仓库及危险废物仓库地面防渗</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10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绿化</w:t>
            </w:r>
          </w:p>
        </w:tc>
        <w:tc>
          <w:tcPr>
            <w:tcW w:w="6946" w:type="dxa"/>
            <w:gridSpan w:val="3"/>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绿化面积200m</w:t>
            </w:r>
            <w:r>
              <w:rPr>
                <w:rFonts w:ascii="Times New Roman" w:hAnsi="Times New Roman" w:cs="Times New Roman"/>
                <w:szCs w:val="21"/>
                <w:vertAlign w:val="superscript"/>
              </w:rPr>
              <w:t>2</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10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排污口</w:t>
            </w:r>
          </w:p>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规范化</w:t>
            </w:r>
          </w:p>
        </w:tc>
        <w:tc>
          <w:tcPr>
            <w:tcW w:w="6946" w:type="dxa"/>
            <w:gridSpan w:val="3"/>
            <w:tcBorders>
              <w:tl2br w:val="nil"/>
              <w:tr2bl w:val="nil"/>
            </w:tcBorders>
            <w:vAlign w:val="center"/>
          </w:tcPr>
          <w:p>
            <w:pPr>
              <w:adjustRightInd w:val="0"/>
              <w:snapToGrid w:val="0"/>
              <w:spacing w:line="240" w:lineRule="exact"/>
              <w:rPr>
                <w:rFonts w:ascii="Times New Roman" w:hAnsi="Times New Roman" w:cs="Times New Roman"/>
                <w:szCs w:val="21"/>
              </w:rPr>
            </w:pPr>
            <w:r>
              <w:rPr>
                <w:rFonts w:ascii="Times New Roman" w:hAnsi="Times New Roman" w:cs="Times New Roman"/>
                <w:szCs w:val="21"/>
              </w:rPr>
              <w:t>废水、废气排口规范化设置（进美乐集团废水站前设置流量计、阀门，污水总排口依托美乐现有排口标识、在线监控）</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10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管网建设</w:t>
            </w:r>
          </w:p>
        </w:tc>
        <w:tc>
          <w:tcPr>
            <w:tcW w:w="6946" w:type="dxa"/>
            <w:gridSpan w:val="3"/>
            <w:tcBorders>
              <w:tl2br w:val="nil"/>
              <w:tr2bl w:val="nil"/>
            </w:tcBorders>
            <w:vAlign w:val="center"/>
          </w:tcPr>
          <w:p>
            <w:pPr>
              <w:adjustRightInd w:val="0"/>
              <w:snapToGrid w:val="0"/>
              <w:spacing w:line="240" w:lineRule="exact"/>
              <w:jc w:val="center"/>
              <w:rPr>
                <w:rFonts w:ascii="Times New Roman" w:hAnsi="Times New Roman" w:cs="Times New Roman"/>
                <w:szCs w:val="21"/>
              </w:rPr>
            </w:pPr>
            <w:r>
              <w:rPr>
                <w:rFonts w:ascii="Times New Roman" w:hAnsi="Times New Roman" w:cs="Times New Roman"/>
                <w:szCs w:val="21"/>
              </w:rPr>
              <w:t>雨污分流、清污分流管网，废水输送管网</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20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风险防范措施</w:t>
            </w:r>
          </w:p>
        </w:tc>
        <w:tc>
          <w:tcPr>
            <w:tcW w:w="6946" w:type="dxa"/>
            <w:gridSpan w:val="3"/>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新建80m</w:t>
            </w:r>
            <w:r>
              <w:rPr>
                <w:rFonts w:ascii="Times New Roman" w:hAnsi="Times New Roman" w:cs="Times New Roman"/>
                <w:szCs w:val="21"/>
                <w:vertAlign w:val="superscript"/>
              </w:rPr>
              <w:t>3</w:t>
            </w:r>
            <w:r>
              <w:rPr>
                <w:rFonts w:ascii="Times New Roman" w:hAnsi="Times New Roman" w:cs="Times New Roman"/>
                <w:szCs w:val="21"/>
              </w:rPr>
              <w:t>事故应急池，针对本项目制定事故预防措施、风险应急预案、监管、建立制度等</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10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总量控制</w:t>
            </w:r>
          </w:p>
        </w:tc>
        <w:tc>
          <w:tcPr>
            <w:tcW w:w="6946" w:type="dxa"/>
            <w:gridSpan w:val="3"/>
            <w:tcBorders>
              <w:tl2br w:val="nil"/>
              <w:tr2bl w:val="nil"/>
            </w:tcBorders>
            <w:vAlign w:val="center"/>
          </w:tcPr>
          <w:p>
            <w:pPr>
              <w:adjustRightInd w:val="0"/>
              <w:snapToGrid w:val="0"/>
              <w:rPr>
                <w:rFonts w:ascii="Times New Roman" w:hAnsi="Times New Roman" w:cs="Times New Roman"/>
                <w:szCs w:val="21"/>
              </w:rPr>
            </w:pPr>
            <w:r>
              <w:rPr>
                <w:rFonts w:ascii="Times New Roman" w:hAnsi="Times New Roman" w:cs="Times New Roman"/>
                <w:szCs w:val="21"/>
              </w:rPr>
              <w:t>生产废水污染物总量控制指标应在美乐集团现有废水总量内平衡，生活污水污染物总量纳入司徒污水处理厂现有总量范围内平衡；废气总量指标在丹阳市范围内平衡，环保部门批准同意后实施</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区域解决问题</w:t>
            </w:r>
          </w:p>
        </w:tc>
        <w:tc>
          <w:tcPr>
            <w:tcW w:w="6946" w:type="dxa"/>
            <w:gridSpan w:val="3"/>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卫生防护距离设置</w:t>
            </w:r>
          </w:p>
        </w:tc>
        <w:tc>
          <w:tcPr>
            <w:tcW w:w="6946" w:type="dxa"/>
            <w:gridSpan w:val="3"/>
            <w:tcBorders>
              <w:tl2br w:val="nil"/>
              <w:tr2bl w:val="nil"/>
            </w:tcBorders>
            <w:vAlign w:val="center"/>
          </w:tcPr>
          <w:p>
            <w:pPr>
              <w:snapToGrid w:val="0"/>
              <w:jc w:val="center"/>
              <w:rPr>
                <w:rFonts w:ascii="Times New Roman" w:hAnsi="Times New Roman" w:cs="Times New Roman"/>
                <w:szCs w:val="21"/>
              </w:rPr>
            </w:pPr>
            <w:r>
              <w:rPr>
                <w:rFonts w:ascii="Times New Roman" w:hAnsi="Times New Roman" w:cs="Times New Roman"/>
                <w:szCs w:val="21"/>
              </w:rPr>
              <w:t>本项目以涂装车间设置100m卫生防护距离，该范围内无环境敏感目标</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2793"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同环评</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20" w:hRule="atLeast"/>
          <w:jc w:val="center"/>
        </w:trPr>
        <w:tc>
          <w:tcPr>
            <w:tcW w:w="1707"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合计</w:t>
            </w:r>
          </w:p>
        </w:tc>
        <w:tc>
          <w:tcPr>
            <w:tcW w:w="6946" w:type="dxa"/>
            <w:gridSpan w:val="3"/>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w:t>
            </w:r>
          </w:p>
        </w:tc>
        <w:tc>
          <w:tcPr>
            <w:tcW w:w="1056"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157</w:t>
            </w:r>
          </w:p>
        </w:tc>
        <w:tc>
          <w:tcPr>
            <w:tcW w:w="2793" w:type="dxa"/>
            <w:tcBorders>
              <w:tl2br w:val="nil"/>
              <w:tr2bl w:val="nil"/>
            </w:tcBorders>
            <w:vAlign w:val="center"/>
          </w:tcPr>
          <w:p>
            <w:pPr>
              <w:adjustRightInd w:val="0"/>
              <w:snapToGrid w:val="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c>
          <w:tcPr>
            <w:tcW w:w="925" w:type="dxa"/>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185</w:t>
            </w:r>
          </w:p>
        </w:tc>
      </w:tr>
    </w:tbl>
    <w:p>
      <w:pPr>
        <w:pStyle w:val="6"/>
        <w:adjustRightInd w:val="0"/>
        <w:ind w:firstLine="0"/>
        <w:textAlignment w:val="baseline"/>
        <w:rPr>
          <w:color w:val="FF0000"/>
          <w:sz w:val="18"/>
          <w:szCs w:val="18"/>
        </w:rPr>
        <w:sectPr>
          <w:pgSz w:w="16838" w:h="11906" w:orient="landscape"/>
          <w:pgMar w:top="567" w:right="851" w:bottom="567" w:left="851" w:header="851" w:footer="992" w:gutter="0"/>
          <w:cols w:space="720" w:num="1"/>
          <w:docGrid w:type="lines" w:linePitch="312" w:charSpace="0"/>
        </w:sectPr>
      </w:pPr>
    </w:p>
    <w:p>
      <w:pPr>
        <w:pStyle w:val="3"/>
        <w:adjustRightInd w:val="0"/>
        <w:spacing w:line="360" w:lineRule="auto"/>
        <w:textAlignment w:val="baseline"/>
        <w:rPr>
          <w:bCs/>
          <w:sz w:val="28"/>
        </w:rPr>
      </w:pPr>
      <w:bookmarkStart w:id="104" w:name="_Toc15831"/>
      <w:bookmarkStart w:id="105" w:name="_Toc499296961"/>
      <w:bookmarkStart w:id="106" w:name="_Toc6867"/>
      <w:bookmarkStart w:id="107" w:name="_Toc22744"/>
      <w:bookmarkStart w:id="108" w:name="_Toc11261"/>
      <w:bookmarkStart w:id="109" w:name="_Toc10620"/>
      <w:bookmarkStart w:id="110" w:name="_Toc73"/>
      <w:bookmarkStart w:id="111" w:name="_Toc25807"/>
      <w:bookmarkStart w:id="112" w:name="_Toc17204"/>
      <w:bookmarkStart w:id="113" w:name="_Toc30237"/>
      <w:bookmarkStart w:id="114" w:name="_Toc9210"/>
      <w:r>
        <w:rPr>
          <w:bCs/>
          <w:sz w:val="28"/>
        </w:rPr>
        <w:t>5</w:t>
      </w:r>
      <w:r>
        <w:rPr>
          <w:rFonts w:hint="eastAsia"/>
          <w:bCs/>
          <w:sz w:val="28"/>
        </w:rPr>
        <w:t>.</w:t>
      </w:r>
      <w:r>
        <w:rPr>
          <w:bCs/>
          <w:sz w:val="28"/>
        </w:rPr>
        <w:t>建设项目环评报告</w:t>
      </w:r>
      <w:r>
        <w:rPr>
          <w:rFonts w:hint="eastAsia"/>
          <w:bCs/>
          <w:sz w:val="28"/>
        </w:rPr>
        <w:t>书</w:t>
      </w:r>
      <w:r>
        <w:rPr>
          <w:bCs/>
          <w:sz w:val="28"/>
        </w:rPr>
        <w:t>的主要结论与建议及审批部门审批</w:t>
      </w:r>
      <w:bookmarkEnd w:id="104"/>
      <w:bookmarkEnd w:id="105"/>
      <w:bookmarkEnd w:id="106"/>
      <w:r>
        <w:rPr>
          <w:rFonts w:hint="eastAsia"/>
          <w:bCs/>
          <w:sz w:val="28"/>
        </w:rPr>
        <w:t>意见</w:t>
      </w:r>
      <w:bookmarkEnd w:id="107"/>
      <w:bookmarkEnd w:id="108"/>
      <w:bookmarkEnd w:id="109"/>
      <w:bookmarkEnd w:id="110"/>
      <w:bookmarkEnd w:id="111"/>
      <w:bookmarkEnd w:id="112"/>
      <w:bookmarkEnd w:id="113"/>
      <w:bookmarkEnd w:id="114"/>
    </w:p>
    <w:p>
      <w:pPr>
        <w:pStyle w:val="9"/>
        <w:spacing w:line="360" w:lineRule="auto"/>
        <w:ind w:left="0"/>
        <w:jc w:val="left"/>
        <w:outlineLvl w:val="1"/>
        <w:rPr>
          <w:rFonts w:ascii="Times New Roman" w:hAnsi="宋体" w:eastAsia="宋体"/>
          <w:b/>
          <w:bCs/>
          <w:sz w:val="24"/>
          <w:szCs w:val="24"/>
        </w:rPr>
      </w:pPr>
      <w:bookmarkStart w:id="115" w:name="_Toc25973"/>
      <w:bookmarkStart w:id="116" w:name="_Toc12332"/>
      <w:bookmarkStart w:id="117" w:name="_Toc9098"/>
      <w:bookmarkStart w:id="118" w:name="_Toc499296962"/>
      <w:bookmarkStart w:id="119" w:name="_Toc32691"/>
      <w:bookmarkStart w:id="120" w:name="_Toc18136"/>
      <w:bookmarkStart w:id="121" w:name="_Toc30809"/>
      <w:bookmarkStart w:id="122" w:name="_Toc16600"/>
      <w:bookmarkStart w:id="123" w:name="_Toc16506"/>
      <w:bookmarkStart w:id="124" w:name="_Toc5598"/>
      <w:bookmarkStart w:id="125" w:name="_Toc20017"/>
      <w:r>
        <w:rPr>
          <w:rFonts w:ascii="Times New Roman" w:eastAsia="宋体"/>
          <w:b/>
          <w:bCs/>
          <w:sz w:val="24"/>
          <w:szCs w:val="24"/>
        </w:rPr>
        <w:t>5.1</w:t>
      </w:r>
      <w:r>
        <w:rPr>
          <w:rFonts w:ascii="Times New Roman" w:hAnsi="宋体" w:eastAsia="宋体"/>
          <w:b/>
          <w:bCs/>
          <w:sz w:val="24"/>
          <w:szCs w:val="24"/>
        </w:rPr>
        <w:t>建设项目环评报告</w:t>
      </w:r>
      <w:r>
        <w:rPr>
          <w:rFonts w:hint="eastAsia" w:hAnsi="宋体"/>
          <w:b/>
          <w:bCs/>
          <w:sz w:val="24"/>
          <w:szCs w:val="24"/>
        </w:rPr>
        <w:t>书</w:t>
      </w:r>
      <w:r>
        <w:rPr>
          <w:rFonts w:ascii="Times New Roman" w:hAnsi="宋体" w:eastAsia="宋体"/>
          <w:b/>
          <w:bCs/>
          <w:sz w:val="24"/>
          <w:szCs w:val="24"/>
        </w:rPr>
        <w:t>的主要结论与建议</w:t>
      </w:r>
      <w:bookmarkEnd w:id="115"/>
      <w:bookmarkEnd w:id="116"/>
      <w:bookmarkEnd w:id="117"/>
      <w:bookmarkEnd w:id="118"/>
      <w:bookmarkEnd w:id="119"/>
      <w:bookmarkEnd w:id="120"/>
      <w:bookmarkEnd w:id="121"/>
      <w:bookmarkEnd w:id="122"/>
      <w:bookmarkEnd w:id="123"/>
      <w:bookmarkEnd w:id="124"/>
      <w:bookmarkEnd w:id="125"/>
    </w:p>
    <w:p>
      <w:pPr>
        <w:adjustRightInd w:val="0"/>
        <w:snapToGrid w:val="0"/>
        <w:spacing w:line="500" w:lineRule="exact"/>
        <w:ind w:firstLine="482" w:firstLineChars="200"/>
        <w:rPr>
          <w:rFonts w:ascii="Times New Roman" w:hAnsi="Times New Roman" w:eastAsia="宋体" w:cs="Times New Roman"/>
          <w:sz w:val="24"/>
        </w:rPr>
      </w:pPr>
      <w:r>
        <w:rPr>
          <w:rFonts w:hint="eastAsia" w:ascii="Times New Roman" w:hAnsi="Times New Roman" w:eastAsia="宋体"/>
          <w:b/>
          <w:bCs/>
          <w:color w:val="000000" w:themeColor="text1"/>
          <w:sz w:val="24"/>
          <w14:textFill>
            <w14:solidFill>
              <w14:schemeClr w14:val="tx1"/>
            </w14:solidFill>
          </w14:textFill>
        </w:rPr>
        <w:t>结论：</w:t>
      </w:r>
      <w:r>
        <w:rPr>
          <w:rFonts w:hint="eastAsia" w:ascii="Times New Roman" w:hAnsi="Times New Roman" w:eastAsia="宋体" w:cs="Times New Roman"/>
          <w:sz w:val="24"/>
        </w:rPr>
        <w:t>本项目位于丹阳市司徒镇</w:t>
      </w:r>
      <w:r>
        <w:rPr>
          <w:rFonts w:hint="eastAsia" w:ascii="Times New Roman" w:hAnsi="Times New Roman" w:eastAsia="宋体" w:cs="Times New Roman"/>
          <w:sz w:val="24"/>
          <w:lang w:val="zh-CN"/>
        </w:rPr>
        <w:t>工业集中区美乐集团现有厂区内</w:t>
      </w:r>
      <w:r>
        <w:rPr>
          <w:rFonts w:hint="eastAsia" w:ascii="Times New Roman" w:hAnsi="Times New Roman" w:eastAsia="宋体" w:cs="Times New Roman"/>
          <w:sz w:val="24"/>
        </w:rPr>
        <w:t>，选址符合区域规划；符合国家及地方产业政策要求；项目生产工艺及设备处于国内先进水平；各项污染治理措施可行，经有效处理后可保证污染物达到相关排放标准要求；项目污染物排放对外环境影响不大，不会降低区域环境功能类别；污染物排放总量可在丹阳市内平衡；项目社会效益、经济效益较好，得到了公众的广泛支持。本项目建成运营后需制定环境风险应急预案，经采取有效的事故防范、减缓措施，项目环境风险水平可接受。因此，从环保的角度分析，本项目的建设可行。</w:t>
      </w:r>
    </w:p>
    <w:p>
      <w:pPr>
        <w:spacing w:line="500" w:lineRule="exact"/>
        <w:ind w:firstLine="482" w:firstLineChars="200"/>
        <w:rPr>
          <w:rFonts w:ascii="Times New Roman" w:hAnsi="Times New Roman" w:cs="Times New Roman"/>
          <w:sz w:val="24"/>
        </w:rPr>
      </w:pPr>
      <w:r>
        <w:rPr>
          <w:rFonts w:hint="eastAsia" w:ascii="Times New Roman" w:hAnsi="Times New Roman" w:eastAsia="宋体"/>
          <w:b/>
          <w:bCs/>
          <w:color w:val="000000" w:themeColor="text1"/>
          <w:sz w:val="24"/>
          <w14:textFill>
            <w14:solidFill>
              <w14:schemeClr w14:val="tx1"/>
            </w14:solidFill>
          </w14:textFill>
        </w:rPr>
        <w:t>建议：</w:t>
      </w:r>
      <w:r>
        <w:rPr>
          <w:rFonts w:ascii="Times New Roman" w:hAnsi="Times New Roman" w:cs="Times New Roman"/>
          <w:sz w:val="24"/>
        </w:rPr>
        <w:t>（1）加强全厂职工的环境保护和安全生产知识的教育。落实、检查环保设施的运行状况，配合当地环保部门做好本厂的环境管理、验收、监督和检查工作。（2）运营期需要根据各项污染防治设施的实际处理效果，及时调整优化污染治理工艺。（3）加强对污染防治措施的日常维护，确保污染治理设施稳定运行。</w:t>
      </w:r>
      <w:r>
        <w:rPr>
          <w:rFonts w:hint="eastAsia" w:ascii="Times New Roman" w:hAnsi="Times New Roman" w:cs="Times New Roman"/>
          <w:sz w:val="24"/>
        </w:rPr>
        <w:t>（4）</w:t>
      </w:r>
      <w:r>
        <w:rPr>
          <w:rFonts w:ascii="Times New Roman" w:hAnsi="Times New Roman" w:cs="Times New Roman"/>
          <w:sz w:val="24"/>
        </w:rPr>
        <w:t>提高清洁生产水平，减少原辅材料的单耗和污染物的产生量。（5）加强车间管理，减少废水和废气的跑、冒、滴、漏。（6）环保投资要按计划落实到位，做到“三同时”。</w:t>
      </w:r>
    </w:p>
    <w:p>
      <w:pPr>
        <w:pStyle w:val="4"/>
        <w:rPr>
          <w:rFonts w:cs="Times New Roman" w:eastAsiaTheme="minorEastAsia"/>
          <w:sz w:val="24"/>
        </w:rPr>
      </w:pPr>
      <w:bookmarkStart w:id="126" w:name="_Toc15523"/>
      <w:r>
        <w:rPr>
          <w:rFonts w:ascii="Times New Roman" w:hAnsi="Times New Roman" w:cs="Times New Roman" w:eastAsiaTheme="minorEastAsia"/>
          <w:sz w:val="24"/>
        </w:rPr>
        <w:t>5.2审批部门审批意见</w:t>
      </w:r>
      <w:bookmarkEnd w:id="126"/>
    </w:p>
    <w:p>
      <w:pPr>
        <w:spacing w:line="360" w:lineRule="auto"/>
        <w:ind w:firstLine="480"/>
        <w:rPr>
          <w:rFonts w:ascii="Times New Roman" w:hAnsi="Times New Roman" w:cs="Times New Roman"/>
          <w:sz w:val="24"/>
        </w:rPr>
      </w:pPr>
      <w:r>
        <w:rPr>
          <w:rFonts w:ascii="Times New Roman" w:hAnsi="Times New Roman" w:cs="Times New Roman"/>
          <w:sz w:val="24"/>
        </w:rPr>
        <w:t>你公司报送的《上海凤凰自行车江苏有限公司年产40万辆自行车生产线项目环境影响报告书》（以下简称“报告书”）、专家组“技术评审会纪要”、镇江市环境保护服务中心《关于上海凤凰自行车江苏有限公司年产40万辆自行车生产线项目环境影响报告书技术评估意见》（镇环服咨[2016]125号）均悉。依照《中华人民共和国环境影响评价法》和《建设项目环境保护管理条例》等相关法律法规规定，经局建设项目审查领导小组审查研究，提出批复意见如下：</w:t>
      </w:r>
    </w:p>
    <w:p>
      <w:pPr>
        <w:numPr>
          <w:ilvl w:val="0"/>
          <w:numId w:val="2"/>
        </w:numPr>
        <w:spacing w:line="360" w:lineRule="auto"/>
        <w:ind w:firstLine="480"/>
        <w:rPr>
          <w:rFonts w:ascii="Times New Roman" w:hAnsi="Times New Roman" w:cs="Times New Roman"/>
          <w:sz w:val="24"/>
        </w:rPr>
      </w:pPr>
      <w:r>
        <w:rPr>
          <w:rFonts w:cs="Times New Roman"/>
          <w:sz w:val="24"/>
        </w:rPr>
        <w:t>根据《报告书》的分析评价和结论，在认真执行国家环保法规标准、切实落实各项污染防治措施，确保各项污染物防治措施和环保风险防范措施，确保各项污染物持久稳定达标排放，满足总量控制、环境质量要求，不产生污染扰民的基础上，从环保角度</w:t>
      </w:r>
      <w:r>
        <w:rPr>
          <w:rFonts w:ascii="Times New Roman" w:hAnsi="Times New Roman" w:cs="Times New Roman"/>
          <w:sz w:val="24"/>
        </w:rPr>
        <w:t>，同意你公司在丹阳市司徒镇观鹤路1号（江苏美乐集团厂区内），新建年产40万辆自行车生产线项目。</w:t>
      </w:r>
    </w:p>
    <w:p>
      <w:pPr>
        <w:numPr>
          <w:ilvl w:val="0"/>
          <w:numId w:val="2"/>
        </w:numPr>
        <w:spacing w:line="360" w:lineRule="auto"/>
        <w:ind w:firstLine="480"/>
        <w:rPr>
          <w:rFonts w:ascii="Times New Roman" w:hAnsi="Times New Roman" w:cs="Times New Roman"/>
          <w:sz w:val="24"/>
        </w:rPr>
      </w:pPr>
      <w:r>
        <w:rPr>
          <w:rFonts w:ascii="Times New Roman" w:hAnsi="Times New Roman" w:cs="Times New Roman"/>
          <w:sz w:val="24"/>
        </w:rPr>
        <w:t>你公司在项目开发、建设和运营管理过程中，必须严格执行环保“三同时”制度，认真采纳落实，并进一步优化、加强和完善各项污染防治措施、环境风险防范措施、环境保护要求及建议，确保项目建设运行符合环保规范。要重点做好以下工作：</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按照“雨污分流、请污分流”的原则，建设本项目厂区给排水管网。生产废水经预处理达到接管标准后入江苏美乐集团公司污水处理站深度处理达《电镀污染物排放标准》（GB21900-2008）表3标准及《城镇污水处理厂污染物排放标准》（GB18918-2002）一级A标准相应要求后，通过江苏美乐集团公司废水总排口排入永丰河。生活污水经化粪池预处理后接入司徒污水处理厂。</w:t>
      </w:r>
    </w:p>
    <w:p>
      <w:pPr>
        <w:numPr>
          <w:ilvl w:val="0"/>
          <w:numId w:val="3"/>
        </w:numPr>
        <w:spacing w:line="360" w:lineRule="auto"/>
        <w:ind w:firstLine="480" w:firstLineChars="200"/>
        <w:rPr>
          <w:rFonts w:cs="Times New Roman"/>
          <w:sz w:val="24"/>
        </w:rPr>
      </w:pPr>
      <w:r>
        <w:rPr>
          <w:rFonts w:cs="Times New Roman"/>
          <w:sz w:val="24"/>
        </w:rPr>
        <w:t>严格落实《报告书》提出的各项废气处理措施，确保长期稳定达标排放，并符合总量控制要求。优化生产工艺废气处理和排气筒设置方案，各工段废气排放源点都必须建设有相应有效的废气吸收处理设施，处理达标后经相应排气筒高空排放，排气筒高度符合规范要求。必须使用清洁能源，并采取有效措施严格控制生产过程中无组织废气的排放，确保厂界监控浓度达标。</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选用先进、低噪声的生产设备，合理布置噪声源，并采取有效隔声、消声和减振措施，确保厂界噪声达《工业企业厂界环境噪声排放标准》（GB12348-2008）相应标准，防止影响周围环境。</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所产生的危险废物、一般工业废物、生活垃圾必须分别按规定要求和标准设置暂存场地，并采取防扬散、防腐蚀、防流失等措施，设置标志牌。落实报告书提出的各类固体废物处置利用措施，实现固体废物零排放。危险废物转移处理必须按规定送有资质单位处置，严格执行危险废物转移联单制度。</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按《江苏省排污口设置及规范化整治管理办法》（苏环控[1997]122号）的规定要求合理设置各类排污口和标识，排水口、排气筒应预留监测采样口。按报告书所提的环境监测方案，对厂区各类污染源进行监测。</w:t>
      </w:r>
    </w:p>
    <w:p>
      <w:pPr>
        <w:numPr>
          <w:ilvl w:val="0"/>
          <w:numId w:val="3"/>
        </w:numPr>
        <w:spacing w:line="360" w:lineRule="auto"/>
        <w:ind w:firstLine="480" w:firstLineChars="200"/>
        <w:rPr>
          <w:rFonts w:cs="Times New Roman"/>
          <w:sz w:val="24"/>
        </w:rPr>
      </w:pPr>
      <w:r>
        <w:rPr>
          <w:rFonts w:ascii="Times New Roman" w:hAnsi="Times New Roman" w:cs="Times New Roman"/>
          <w:sz w:val="24"/>
        </w:rPr>
        <w:t>认真落实报</w:t>
      </w:r>
      <w:r>
        <w:rPr>
          <w:rFonts w:cs="Times New Roman"/>
          <w:sz w:val="24"/>
        </w:rPr>
        <w:t>告书提出的各项风险防范措施和事故应急措施，制定环境应急预案，定期组织演练，防止突发环境污染事故发生。环境卫生防护距离范围内，不得存在环境敏感目标，当地政府部门也不得在其范围内批准建设环境敏感保护目标。原辅材料及产品运输、贮存、管理和使用，以及报废，应严格按照相关规定执行，必须符合国家标准要求，并由专人负责管理。属于危险化学品的应当符合《危险化学品安全管理条例》的相关规定。有关安全、消防、卫生防疫等相应手续，必须报请相关主管部门审查同意，取得同意后方可建设生产。</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加强项目建设施工期环境保护工作，文明施工。应选择先进的技术设备，采用先进的施工工艺和技术，落实水、气、声、震动、固体废物的防治措施，特别要加强建筑施工噪声、扬尘的控制和管理，合理安排作业时间，确保施工期各类污染物达标排放，不造成污染影响。施工区原材料应统一堆放，场地开挖作业要经常洒水，以减少扬尘；车辆进出应采取遮盖、密闭等措施，减少抛洒；施工现场禁止混凝土搅拌；严格控制夜间施工作业，避免噪声污染扰民，确需夜间施工作业的，必须依法申请办理夜间施工许可手续，经许可公告后方可施工。施工结束后应对弃土场及工程临时占地进行整治、恢复周围生态环境。按照《江苏省城市居住区和单位绿化标准》（DB32/139-95）的要求开展厂区绿化工作，建设必要的绿化安全防护隔离带，确保厂区可绿化覆盖率100%。</w:t>
      </w:r>
    </w:p>
    <w:p>
      <w:pPr>
        <w:numPr>
          <w:ilvl w:val="0"/>
          <w:numId w:val="3"/>
        </w:numPr>
        <w:spacing w:line="360" w:lineRule="auto"/>
        <w:ind w:firstLine="480" w:firstLineChars="200"/>
        <w:rPr>
          <w:rFonts w:cs="Times New Roman"/>
          <w:sz w:val="24"/>
        </w:rPr>
      </w:pPr>
      <w:r>
        <w:rPr>
          <w:rFonts w:cs="Times New Roman"/>
          <w:sz w:val="24"/>
        </w:rPr>
        <w:t>在工程设计和项目运营中进一步提高清洁生产水平，加强废水、废气处理设施运行的管理和监控，防范非正常工况污染物超标排放。企业内部应建立相应的环保管理网络和规章制度，设立专门机构，配备专职管理和技术人员，负责企业环保安全工作，按照环保“三同时”要求，落实相关污染防治措施和风险防范措施。</w:t>
      </w:r>
    </w:p>
    <w:p>
      <w:pPr>
        <w:numPr>
          <w:ilvl w:val="0"/>
          <w:numId w:val="2"/>
        </w:numPr>
        <w:spacing w:line="360" w:lineRule="auto"/>
        <w:ind w:firstLine="480"/>
        <w:rPr>
          <w:rFonts w:ascii="Times New Roman" w:hAnsi="Times New Roman" w:cs="Times New Roman"/>
          <w:sz w:val="24"/>
        </w:rPr>
      </w:pPr>
      <w:r>
        <w:rPr>
          <w:rFonts w:ascii="Times New Roman" w:hAnsi="Times New Roman" w:cs="Times New Roman"/>
          <w:sz w:val="24"/>
        </w:rPr>
        <w:t>同意报告书提出的污染物排放执行标准。</w:t>
      </w:r>
    </w:p>
    <w:p>
      <w:pPr>
        <w:numPr>
          <w:ilvl w:val="0"/>
          <w:numId w:val="4"/>
        </w:numPr>
        <w:spacing w:line="360" w:lineRule="auto"/>
        <w:ind w:firstLine="480" w:firstLineChars="200"/>
        <w:rPr>
          <w:rFonts w:ascii="Times New Roman" w:hAnsi="Times New Roman" w:cs="Times New Roman"/>
          <w:sz w:val="24"/>
        </w:rPr>
      </w:pPr>
      <w:r>
        <w:rPr>
          <w:rFonts w:ascii="Times New Roman" w:hAnsi="Times New Roman" w:cs="Times New Roman"/>
          <w:sz w:val="24"/>
        </w:rPr>
        <w:t>本项目生产废水污染物年排放量：COD≤0.141吨、SS≤0.094吨、</w:t>
      </w:r>
      <w:r>
        <w:rPr>
          <w:rFonts w:hint="eastAsia" w:ascii="Times New Roman" w:hAnsi="Times New Roman" w:cs="Times New Roman"/>
          <w:sz w:val="24"/>
          <w:lang w:val="en-US" w:eastAsia="zh-CN"/>
        </w:rPr>
        <w:t>石油类</w:t>
      </w:r>
      <w:r>
        <w:rPr>
          <w:rFonts w:ascii="Times New Roman" w:hAnsi="Times New Roman" w:cs="Times New Roman"/>
          <w:sz w:val="24"/>
        </w:rPr>
        <w:t>≤0.006吨、</w:t>
      </w:r>
      <w:r>
        <w:rPr>
          <w:rFonts w:hint="eastAsia" w:ascii="Times New Roman" w:hAnsi="Times New Roman" w:cs="Times New Roman"/>
          <w:sz w:val="24"/>
          <w:lang w:val="en-US" w:eastAsia="zh-CN"/>
        </w:rPr>
        <w:t>LAS</w:t>
      </w:r>
      <w:r>
        <w:rPr>
          <w:rFonts w:ascii="Times New Roman" w:hAnsi="Times New Roman" w:cs="Times New Roman"/>
          <w:sz w:val="24"/>
        </w:rPr>
        <w:t>≤0.001吨。</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本项目生活废水污染物年排放量：COD≤0.144吨、SS≤0.029吨、氨氮≤0.014吨、总磷≤0.001吨、动植物油≤0.003吨。</w:t>
      </w:r>
    </w:p>
    <w:p>
      <w:pPr>
        <w:numPr>
          <w:ilvl w:val="0"/>
          <w:numId w:val="4"/>
        </w:numPr>
        <w:spacing w:line="360" w:lineRule="auto"/>
        <w:ind w:firstLine="480" w:firstLineChars="200"/>
        <w:rPr>
          <w:rFonts w:ascii="Times New Roman" w:hAnsi="Times New Roman" w:cs="Times New Roman"/>
          <w:sz w:val="24"/>
        </w:rPr>
      </w:pPr>
      <w:r>
        <w:rPr>
          <w:rFonts w:ascii="Times New Roman" w:hAnsi="Times New Roman" w:cs="Times New Roman"/>
          <w:sz w:val="24"/>
        </w:rPr>
        <w:t>本项目废气污染物年排放量：硫酸雾≤0.04吨、SO</w:t>
      </w:r>
      <w:r>
        <w:rPr>
          <w:rFonts w:ascii="Times New Roman" w:hAnsi="Times New Roman" w:cs="Times New Roman"/>
          <w:sz w:val="24"/>
          <w:vertAlign w:val="subscript"/>
        </w:rPr>
        <w:t>2</w:t>
      </w:r>
      <w:r>
        <w:rPr>
          <w:rFonts w:ascii="Times New Roman" w:hAnsi="Times New Roman" w:cs="Times New Roman"/>
          <w:sz w:val="24"/>
        </w:rPr>
        <w:t>≤0.018吨、NO</w:t>
      </w:r>
      <w:r>
        <w:rPr>
          <w:rFonts w:ascii="Times New Roman" w:hAnsi="Times New Roman" w:cs="Times New Roman"/>
          <w:sz w:val="24"/>
          <w:vertAlign w:val="subscript"/>
        </w:rPr>
        <w:t>X</w:t>
      </w:r>
      <w:r>
        <w:rPr>
          <w:rFonts w:ascii="Times New Roman" w:hAnsi="Times New Roman" w:cs="Times New Roman"/>
          <w:sz w:val="24"/>
        </w:rPr>
        <w:t>≤0.113吨、烟尘≤0.043吨、VOC</w:t>
      </w:r>
      <w:r>
        <w:rPr>
          <w:rFonts w:ascii="Times New Roman" w:hAnsi="Times New Roman" w:cs="Times New Roman"/>
          <w:sz w:val="24"/>
          <w:vertAlign w:val="subscript"/>
        </w:rPr>
        <w:t>S</w:t>
      </w:r>
      <w:r>
        <w:rPr>
          <w:rFonts w:ascii="Times New Roman" w:hAnsi="Times New Roman" w:cs="Times New Roman"/>
          <w:sz w:val="24"/>
        </w:rPr>
        <w:t>≤1.298吨、粉尘≤0.256吨。</w:t>
      </w:r>
    </w:p>
    <w:p>
      <w:pPr>
        <w:spacing w:line="360" w:lineRule="auto"/>
        <w:ind w:firstLine="480" w:firstLineChars="200"/>
        <w:rPr>
          <w:rFonts w:cs="Times New Roman"/>
          <w:sz w:val="24"/>
        </w:rPr>
      </w:pPr>
      <w:r>
        <w:rPr>
          <w:rFonts w:hint="eastAsia" w:ascii="Times New Roman" w:hAnsi="Times New Roman" w:cs="Times New Roman"/>
          <w:sz w:val="24"/>
        </w:rPr>
        <w:t>3、</w:t>
      </w:r>
      <w:r>
        <w:rPr>
          <w:rFonts w:ascii="Times New Roman" w:hAnsi="Times New Roman" w:cs="Times New Roman"/>
          <w:sz w:val="24"/>
        </w:rPr>
        <w:t>固体废物年排放量：零。</w:t>
      </w:r>
    </w:p>
    <w:p>
      <w:pPr>
        <w:spacing w:line="360" w:lineRule="auto"/>
        <w:ind w:firstLine="420"/>
        <w:rPr>
          <w:rFonts w:ascii="Times New Roman" w:hAnsi="Times New Roman" w:cs="Times New Roman"/>
          <w:sz w:val="24"/>
        </w:rPr>
      </w:pPr>
      <w:r>
        <w:rPr>
          <w:rFonts w:ascii="Times New Roman" w:hAnsi="Times New Roman" w:cs="Times New Roman"/>
          <w:sz w:val="24"/>
        </w:rPr>
        <w:t>项目实施后，本项目生产废水污染物排放总量指标在美乐集团公司总量指标范围内平衡解决，生活污水污染物排放总量指标在司徒污水处理厂总量指标范围内平衡解决。</w:t>
      </w:r>
    </w:p>
    <w:p>
      <w:pPr>
        <w:numPr>
          <w:ilvl w:val="0"/>
          <w:numId w:val="2"/>
        </w:numPr>
        <w:spacing w:line="360" w:lineRule="auto"/>
        <w:ind w:firstLine="480"/>
        <w:rPr>
          <w:rFonts w:cs="Times New Roman"/>
          <w:sz w:val="24"/>
        </w:rPr>
      </w:pPr>
      <w:r>
        <w:rPr>
          <w:rFonts w:cs="Times New Roman"/>
          <w:sz w:val="24"/>
        </w:rPr>
        <w:t>该项目的环保设施和环境风险应急措施，必须与主体工程同时规划建设、同时建成运行。并按规定申办项目竣工环保验收手续。建设期间和运营期的现场监督管理由丹阳市环境监察大队及司徒镇环保所负责监督实施。</w:t>
      </w:r>
    </w:p>
    <w:p>
      <w:pPr>
        <w:numPr>
          <w:ilvl w:val="0"/>
          <w:numId w:val="2"/>
        </w:numPr>
        <w:spacing w:line="360" w:lineRule="auto"/>
        <w:ind w:firstLine="480"/>
        <w:rPr>
          <w:rFonts w:ascii="Times New Roman" w:hAnsi="Times New Roman" w:cs="Times New Roman"/>
          <w:sz w:val="24"/>
        </w:rPr>
      </w:pPr>
      <w:r>
        <w:rPr>
          <w:rFonts w:ascii="Times New Roman" w:hAnsi="Times New Roman" w:cs="Times New Roman"/>
          <w:sz w:val="24"/>
        </w:rPr>
        <w:t>报告书经批准后，如项目的性质、规模、地点、采用的生产工艺、防治污染、防治生态破坏的措施发生重大变动或自批准之日起满5年方开工建设，应当按规定要求和程序重新报批。</w:t>
      </w:r>
    </w:p>
    <w:p>
      <w:pPr>
        <w:pStyle w:val="3"/>
        <w:adjustRightInd w:val="0"/>
        <w:textAlignment w:val="baseline"/>
        <w:rPr>
          <w:bCs/>
          <w:color w:val="000000"/>
          <w:sz w:val="28"/>
        </w:rPr>
      </w:pPr>
      <w:bookmarkStart w:id="127" w:name="_Toc21213"/>
      <w:bookmarkStart w:id="128" w:name="_Toc31120"/>
      <w:bookmarkStart w:id="129" w:name="_Toc499296964"/>
      <w:bookmarkStart w:id="130" w:name="_Toc26829"/>
      <w:bookmarkStart w:id="131" w:name="_Toc32460"/>
      <w:bookmarkStart w:id="132" w:name="_Toc12185"/>
      <w:r>
        <w:rPr>
          <w:bCs/>
          <w:color w:val="000000"/>
          <w:sz w:val="28"/>
        </w:rPr>
        <w:t>6</w:t>
      </w:r>
      <w:r>
        <w:rPr>
          <w:rFonts w:hint="eastAsia"/>
          <w:bCs/>
          <w:color w:val="000000"/>
          <w:sz w:val="28"/>
        </w:rPr>
        <w:t>.</w:t>
      </w:r>
      <w:r>
        <w:rPr>
          <w:bCs/>
          <w:color w:val="000000"/>
          <w:sz w:val="28"/>
        </w:rPr>
        <w:t>验收执行标准</w:t>
      </w:r>
      <w:bookmarkEnd w:id="127"/>
      <w:bookmarkEnd w:id="128"/>
      <w:bookmarkEnd w:id="129"/>
      <w:bookmarkEnd w:id="130"/>
      <w:bookmarkEnd w:id="131"/>
      <w:bookmarkEnd w:id="132"/>
    </w:p>
    <w:p>
      <w:pPr>
        <w:pStyle w:val="4"/>
        <w:adjustRightInd w:val="0"/>
        <w:textAlignment w:val="baseline"/>
        <w:rPr>
          <w:rFonts w:ascii="Times New Roman" w:hAnsi="Times New Roman" w:eastAsia="仿宋_GB2312"/>
          <w:sz w:val="28"/>
          <w:szCs w:val="24"/>
          <w:lang w:val="zh-CN"/>
        </w:rPr>
      </w:pPr>
      <w:bookmarkStart w:id="133" w:name="_Toc9063"/>
      <w:r>
        <w:rPr>
          <w:rFonts w:ascii="Times New Roman" w:hAnsi="Times New Roman" w:cs="Times New Roman"/>
          <w:sz w:val="24"/>
          <w:szCs w:val="24"/>
        </w:rPr>
        <w:t>6.1废水污染物排放标准</w:t>
      </w:r>
      <w:bookmarkEnd w:id="133"/>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位于丹阳市司徒镇工业集中区美乐集团厂区内，项目生产废水依托美乐集团污水处理站处理后排入永丰河。本项目污水需执行美乐集团污水处理站设计进水标准；美乐集团污水站污水排放执行《电镀污染物排放标准》（GB21900-2008）表3标准，未列出的因子执行《城镇污水处理厂污染物排放标准》（GB18918-2002）一级A标准。详见表</w:t>
      </w:r>
      <w:r>
        <w:rPr>
          <w:rFonts w:hint="eastAsia" w:ascii="Times New Roman" w:hAnsi="Times New Roman" w:cs="Times New Roman"/>
          <w:sz w:val="24"/>
        </w:rPr>
        <w:t>6-1</w:t>
      </w:r>
      <w:r>
        <w:rPr>
          <w:rFonts w:ascii="Times New Roman" w:hAnsi="Times New Roman" w:cs="Times New Roman"/>
          <w:sz w:val="24"/>
        </w:rPr>
        <w:t>。</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生活污水依托美乐集团生活区化粪池预处理后，接入司徒污水处理厂处理，执行污水处理厂接管标准；司徒污水处理厂</w:t>
      </w:r>
      <w:bookmarkStart w:id="134" w:name="OLE_LINK22"/>
      <w:bookmarkStart w:id="135" w:name="OLE_LINK20"/>
      <w:r>
        <w:rPr>
          <w:rFonts w:ascii="Times New Roman" w:hAnsi="Times New Roman" w:cs="Times New Roman"/>
          <w:sz w:val="24"/>
        </w:rPr>
        <w:t>尾水排放执行《城镇污水处理厂污染物排放标准》（GB18918-2002）一级A标准及《太湖地区城镇污水处理厂及重点工业行业主要水污染物排放限值》（DB32/1072-2007）中相应限值，</w:t>
      </w:r>
      <w:bookmarkEnd w:id="134"/>
      <w:bookmarkEnd w:id="135"/>
      <w:r>
        <w:rPr>
          <w:rFonts w:ascii="Times New Roman" w:hAnsi="Times New Roman" w:cs="Times New Roman"/>
          <w:sz w:val="24"/>
        </w:rPr>
        <w:t>尾水排放限值详见表</w:t>
      </w:r>
      <w:r>
        <w:rPr>
          <w:rFonts w:hint="eastAsia" w:ascii="Times New Roman" w:hAnsi="Times New Roman" w:cs="Times New Roman"/>
          <w:sz w:val="24"/>
        </w:rPr>
        <w:t>6-2</w:t>
      </w:r>
      <w:r>
        <w:rPr>
          <w:rFonts w:ascii="Times New Roman" w:hAnsi="Times New Roman" w:cs="Times New Roman"/>
          <w:sz w:val="24"/>
        </w:rPr>
        <w:t>。</w:t>
      </w:r>
    </w:p>
    <w:p>
      <w:pPr>
        <w:pStyle w:val="7"/>
        <w:bidi w:val="0"/>
        <w:rPr>
          <w:lang w:val="zh-CN"/>
        </w:rPr>
      </w:pPr>
      <w:r>
        <w:t>表</w:t>
      </w:r>
      <w:r>
        <w:rPr>
          <w:rFonts w:hint="eastAsia"/>
          <w:lang w:eastAsia="zh-CN"/>
        </w:rPr>
        <w:t>6-1  工艺废水接管及排放标准（mg/L，pH值无量纲）</w:t>
      </w:r>
    </w:p>
    <w:tbl>
      <w:tblPr>
        <w:tblStyle w:val="23"/>
        <w:tblW w:w="9170" w:type="dxa"/>
        <w:tblInd w:w="113"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89"/>
        <w:gridCol w:w="1869"/>
        <w:gridCol w:w="1869"/>
        <w:gridCol w:w="3943"/>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1" w:hRule="atLeast"/>
        </w:trPr>
        <w:tc>
          <w:tcPr>
            <w:tcW w:w="148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污染物</w:t>
            </w:r>
          </w:p>
        </w:tc>
        <w:tc>
          <w:tcPr>
            <w:tcW w:w="186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设计进水浓度</w:t>
            </w:r>
          </w:p>
        </w:tc>
        <w:tc>
          <w:tcPr>
            <w:tcW w:w="186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排放标准</w:t>
            </w:r>
          </w:p>
        </w:tc>
        <w:tc>
          <w:tcPr>
            <w:tcW w:w="3943"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排放标准来源</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48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pH</w:t>
            </w:r>
            <w:r>
              <w:rPr>
                <w:rFonts w:hint="eastAsia" w:ascii="Times New Roman" w:hAnsi="Times New Roman" w:cs="Times New Roman"/>
                <w:szCs w:val="21"/>
              </w:rPr>
              <w:t>值</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6~9</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6～9</w:t>
            </w:r>
          </w:p>
        </w:tc>
        <w:tc>
          <w:tcPr>
            <w:tcW w:w="3943" w:type="dxa"/>
            <w:vMerge w:val="restart"/>
            <w:tcBorders>
              <w:tl2br w:val="nil"/>
              <w:tr2bl w:val="nil"/>
            </w:tcBorders>
            <w:vAlign w:val="center"/>
          </w:tcPr>
          <w:p>
            <w:pPr>
              <w:adjustRightInd w:val="0"/>
              <w:snapToGrid w:val="0"/>
              <w:jc w:val="both"/>
              <w:rPr>
                <w:rFonts w:ascii="Times New Roman" w:hAnsi="Times New Roman" w:cs="Times New Roman"/>
                <w:szCs w:val="21"/>
              </w:rPr>
            </w:pPr>
            <w:r>
              <w:rPr>
                <w:rFonts w:ascii="Times New Roman" w:hAnsi="Times New Roman" w:cs="Times New Roman"/>
                <w:szCs w:val="21"/>
              </w:rPr>
              <w:t>《电镀污染物排放标准》（GB21900-2008）表3标准</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48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COD</w:t>
            </w:r>
            <w:r>
              <w:rPr>
                <w:rFonts w:ascii="Times New Roman" w:hAnsi="Times New Roman" w:cs="Times New Roman"/>
                <w:szCs w:val="21"/>
                <w:vertAlign w:val="subscript"/>
              </w:rPr>
              <w:t>Cr</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≤1500</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≤50</w:t>
            </w:r>
          </w:p>
        </w:tc>
        <w:tc>
          <w:tcPr>
            <w:tcW w:w="3943" w:type="dxa"/>
            <w:vMerge w:val="continue"/>
            <w:tcBorders>
              <w:tl2br w:val="nil"/>
              <w:tr2bl w:val="nil"/>
            </w:tcBorders>
            <w:vAlign w:val="center"/>
          </w:tcPr>
          <w:p>
            <w:pPr>
              <w:adjustRightInd w:val="0"/>
              <w:snapToGrid w:val="0"/>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48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SS</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≤500</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≤30</w:t>
            </w:r>
          </w:p>
        </w:tc>
        <w:tc>
          <w:tcPr>
            <w:tcW w:w="3943" w:type="dxa"/>
            <w:vMerge w:val="continue"/>
            <w:tcBorders>
              <w:tl2br w:val="nil"/>
              <w:tr2bl w:val="nil"/>
            </w:tcBorders>
            <w:vAlign w:val="center"/>
          </w:tcPr>
          <w:p>
            <w:pPr>
              <w:adjustRightInd w:val="0"/>
              <w:snapToGrid w:val="0"/>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48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石油类</w:t>
            </w:r>
          </w:p>
        </w:tc>
        <w:tc>
          <w:tcPr>
            <w:tcW w:w="186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≤5</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w:t>
            </w:r>
          </w:p>
        </w:tc>
        <w:tc>
          <w:tcPr>
            <w:tcW w:w="3943" w:type="dxa"/>
            <w:vMerge w:val="continue"/>
            <w:tcBorders>
              <w:tl2br w:val="nil"/>
              <w:tr2bl w:val="nil"/>
            </w:tcBorders>
            <w:vAlign w:val="center"/>
          </w:tcPr>
          <w:p>
            <w:pPr>
              <w:adjustRightInd w:val="0"/>
              <w:snapToGrid w:val="0"/>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48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LAS</w:t>
            </w:r>
          </w:p>
        </w:tc>
        <w:tc>
          <w:tcPr>
            <w:tcW w:w="1869"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≤0.5</w:t>
            </w:r>
          </w:p>
        </w:tc>
        <w:tc>
          <w:tcPr>
            <w:tcW w:w="3943" w:type="dxa"/>
            <w:tcBorders>
              <w:tl2br w:val="nil"/>
              <w:tr2bl w:val="nil"/>
            </w:tcBorders>
            <w:vAlign w:val="center"/>
          </w:tcPr>
          <w:p>
            <w:pPr>
              <w:adjustRightInd w:val="0"/>
              <w:snapToGrid w:val="0"/>
              <w:jc w:val="both"/>
              <w:rPr>
                <w:rFonts w:ascii="Times New Roman" w:hAnsi="Times New Roman" w:cs="Times New Roman"/>
                <w:szCs w:val="21"/>
              </w:rPr>
            </w:pPr>
            <w:r>
              <w:rPr>
                <w:rFonts w:ascii="Times New Roman" w:hAnsi="Times New Roman" w:cs="Times New Roman"/>
                <w:szCs w:val="21"/>
              </w:rPr>
              <w:t>《城镇污水处理厂污染物排放标准》（GB18918-2002）一级A标准</w:t>
            </w:r>
          </w:p>
        </w:tc>
      </w:tr>
    </w:tbl>
    <w:p>
      <w:pPr>
        <w:spacing w:before="100" w:after="100"/>
        <w:jc w:val="center"/>
        <w:rPr>
          <w:rFonts w:ascii="Times New Roman" w:hAnsi="Times New Roman" w:cs="Times New Roman"/>
          <w:b/>
          <w:kern w:val="44"/>
          <w:sz w:val="24"/>
          <w:lang w:val="zh-CN"/>
        </w:rPr>
      </w:pPr>
    </w:p>
    <w:p>
      <w:pPr>
        <w:pStyle w:val="7"/>
        <w:bidi w:val="0"/>
        <w:rPr>
          <w:lang w:val="zh-CN"/>
        </w:rPr>
      </w:pPr>
      <w:r>
        <w:t>表</w:t>
      </w:r>
      <w:r>
        <w:rPr>
          <w:rFonts w:hint="eastAsia"/>
          <w:lang w:eastAsia="zh-CN"/>
        </w:rPr>
        <w:t>6-2  司徒污水处理厂接管及排放标准（mg/L，pH值无量纲）</w:t>
      </w:r>
    </w:p>
    <w:tbl>
      <w:tblPr>
        <w:tblStyle w:val="23"/>
        <w:tblW w:w="9170" w:type="dxa"/>
        <w:tblInd w:w="113"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89"/>
        <w:gridCol w:w="1869"/>
        <w:gridCol w:w="1869"/>
        <w:gridCol w:w="3943"/>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污染物</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接管标准</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排放标准</w:t>
            </w:r>
          </w:p>
        </w:tc>
        <w:tc>
          <w:tcPr>
            <w:tcW w:w="394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排放标准来源</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pH</w:t>
            </w:r>
            <w:r>
              <w:rPr>
                <w:rFonts w:hint="eastAsia" w:ascii="Times New Roman" w:hAnsi="Times New Roman" w:cs="Times New Roman"/>
                <w:szCs w:val="21"/>
              </w:rPr>
              <w:t>值</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6~9</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6~9</w:t>
            </w:r>
          </w:p>
        </w:tc>
        <w:tc>
          <w:tcPr>
            <w:tcW w:w="3943" w:type="dxa"/>
            <w:vMerge w:val="restart"/>
            <w:tcBorders>
              <w:tl2br w:val="nil"/>
              <w:tr2bl w:val="nil"/>
            </w:tcBorders>
            <w:vAlign w:val="center"/>
          </w:tcPr>
          <w:p>
            <w:pPr>
              <w:jc w:val="both"/>
              <w:rPr>
                <w:rFonts w:ascii="Times New Roman" w:hAnsi="Times New Roman" w:cs="Times New Roman"/>
                <w:szCs w:val="21"/>
              </w:rPr>
            </w:pPr>
            <w:r>
              <w:rPr>
                <w:rFonts w:ascii="Times New Roman" w:hAnsi="Times New Roman" w:cs="Times New Roman"/>
                <w:szCs w:val="21"/>
              </w:rPr>
              <w:t>《城镇污水处理厂污染物排放标准》（GB18918-2002）一级A标准、《太湖地区城镇污水处理厂及重点工业行业主要水污染物排放限值》（DB32/1072-2007）</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COD</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≤500</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≤50</w:t>
            </w:r>
          </w:p>
        </w:tc>
        <w:tc>
          <w:tcPr>
            <w:tcW w:w="3943"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SS</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≤400</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≤10</w:t>
            </w:r>
          </w:p>
        </w:tc>
        <w:tc>
          <w:tcPr>
            <w:tcW w:w="3943"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NH</w:t>
            </w:r>
            <w:r>
              <w:rPr>
                <w:rFonts w:ascii="Times New Roman" w:hAnsi="Times New Roman" w:cs="Times New Roman"/>
                <w:szCs w:val="21"/>
                <w:vertAlign w:val="subscript"/>
              </w:rPr>
              <w:t>3</w:t>
            </w:r>
            <w:r>
              <w:rPr>
                <w:rFonts w:ascii="Times New Roman" w:hAnsi="Times New Roman" w:cs="Times New Roman"/>
                <w:szCs w:val="21"/>
              </w:rPr>
              <w:t>-N</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≤35</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3943"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TP</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≤8</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≤0.5</w:t>
            </w:r>
          </w:p>
        </w:tc>
        <w:tc>
          <w:tcPr>
            <w:tcW w:w="3943"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48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动植物油</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≤100</w:t>
            </w:r>
          </w:p>
        </w:tc>
        <w:tc>
          <w:tcPr>
            <w:tcW w:w="18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w:t>
            </w:r>
          </w:p>
        </w:tc>
        <w:tc>
          <w:tcPr>
            <w:tcW w:w="3943" w:type="dxa"/>
            <w:vMerge w:val="continue"/>
            <w:tcBorders>
              <w:tl2br w:val="nil"/>
              <w:tr2bl w:val="nil"/>
            </w:tcBorders>
            <w:vAlign w:val="center"/>
          </w:tcPr>
          <w:p>
            <w:pPr>
              <w:jc w:val="center"/>
              <w:rPr>
                <w:rFonts w:ascii="Times New Roman" w:hAnsi="Times New Roman" w:cs="Times New Roman"/>
                <w:szCs w:val="21"/>
              </w:rPr>
            </w:pPr>
          </w:p>
        </w:tc>
      </w:tr>
    </w:tbl>
    <w:p>
      <w:pPr>
        <w:pStyle w:val="4"/>
        <w:adjustRightInd w:val="0"/>
        <w:spacing w:line="360" w:lineRule="auto"/>
        <w:textAlignment w:val="baseline"/>
        <w:rPr>
          <w:rFonts w:ascii="Times New Roman" w:hAnsi="宋体"/>
          <w:sz w:val="24"/>
          <w:szCs w:val="24"/>
        </w:rPr>
      </w:pPr>
      <w:bookmarkStart w:id="136" w:name="_Toc32091"/>
      <w:r>
        <w:rPr>
          <w:rFonts w:ascii="Times New Roman"/>
          <w:sz w:val="24"/>
          <w:szCs w:val="24"/>
        </w:rPr>
        <w:t>6.</w:t>
      </w:r>
      <w:bookmarkStart w:id="137" w:name="_Toc23988"/>
      <w:bookmarkStart w:id="138" w:name="_Toc6700"/>
      <w:bookmarkStart w:id="139" w:name="_Toc25907"/>
      <w:bookmarkStart w:id="140" w:name="_Toc20673"/>
      <w:bookmarkStart w:id="141" w:name="_Toc499296966"/>
      <w:r>
        <w:rPr>
          <w:rFonts w:hint="eastAsia" w:ascii="Times New Roman"/>
          <w:sz w:val="24"/>
          <w:szCs w:val="24"/>
        </w:rPr>
        <w:t>2废</w:t>
      </w:r>
      <w:r>
        <w:rPr>
          <w:rFonts w:ascii="Times New Roman" w:hAnsi="宋体"/>
          <w:sz w:val="24"/>
          <w:szCs w:val="24"/>
        </w:rPr>
        <w:t>气污染物排放标准</w:t>
      </w:r>
      <w:bookmarkEnd w:id="136"/>
      <w:bookmarkEnd w:id="137"/>
      <w:bookmarkEnd w:id="138"/>
      <w:bookmarkEnd w:id="139"/>
      <w:bookmarkEnd w:id="140"/>
      <w:bookmarkEnd w:id="141"/>
    </w:p>
    <w:p>
      <w:pPr>
        <w:pStyle w:val="10"/>
        <w:adjustRightInd w:val="0"/>
        <w:snapToGrid w:val="0"/>
        <w:ind w:firstLine="482"/>
        <w:rPr>
          <w:rFonts w:hint="default" w:ascii="Times New Roman" w:hAnsi="Times New Roman" w:cs="Times New Roman" w:eastAsiaTheme="minorEastAsia"/>
          <w:lang w:val="en-US" w:eastAsia="zh-CN"/>
        </w:rPr>
      </w:pPr>
      <w:r>
        <w:rPr>
          <w:rFonts w:ascii="Times New Roman" w:hAnsi="Times New Roman" w:cs="Times New Roman"/>
        </w:rPr>
        <w:t>本项目</w:t>
      </w:r>
      <w:r>
        <w:rPr>
          <w:rFonts w:hint="eastAsia" w:ascii="Times New Roman" w:hAnsi="Times New Roman" w:cs="Times New Roman"/>
          <w:lang w:val="en-US" w:eastAsia="zh-CN"/>
        </w:rPr>
        <w:t>1#排气筒调喷漆废气中VOCs排放标准参照天津市地方标准《工业企业挥发性有机物排放控制标准》（DB12/524-2014）表2“表面涂装”中相应限值执行，</w:t>
      </w:r>
      <w:r>
        <w:rPr>
          <w:rFonts w:ascii="Times New Roman" w:hAnsi="Times New Roman" w:cs="Times New Roman"/>
          <w:bCs/>
        </w:rPr>
        <w:t>乙酸丁酯、丁醇排放标准根据《制定地方大气污染物排放标准的技术方法》（GB/T13201-91）推算</w:t>
      </w:r>
      <w:r>
        <w:rPr>
          <w:rFonts w:hint="eastAsia" w:ascii="Times New Roman" w:hAnsi="Times New Roman" w:cs="Times New Roman"/>
          <w:bCs/>
          <w:lang w:val="en-US" w:eastAsia="zh-CN"/>
        </w:rPr>
        <w:t>值执行</w:t>
      </w:r>
      <w:r>
        <w:rPr>
          <w:rFonts w:hint="eastAsia" w:ascii="Times New Roman" w:hAnsi="Times New Roman" w:cs="Times New Roman"/>
          <w:bCs/>
          <w:lang w:eastAsia="zh-CN"/>
        </w:rPr>
        <w:t>，</w:t>
      </w:r>
      <w:r>
        <w:rPr>
          <w:rFonts w:hint="eastAsia" w:ascii="Times New Roman" w:hAnsi="Times New Roman" w:cs="Times New Roman"/>
          <w:lang w:val="en-US" w:eastAsia="zh-CN"/>
        </w:rPr>
        <w:t>颗粒物</w:t>
      </w:r>
      <w:r>
        <w:rPr>
          <w:rFonts w:ascii="Times New Roman" w:hAnsi="Times New Roman" w:cs="Times New Roman"/>
        </w:rPr>
        <w:t>排放</w:t>
      </w:r>
      <w:r>
        <w:rPr>
          <w:rFonts w:hint="eastAsia" w:ascii="Times New Roman" w:hAnsi="Times New Roman" w:cs="Times New Roman"/>
          <w:lang w:val="en-US" w:eastAsia="zh-CN"/>
        </w:rPr>
        <w:t>标准</w:t>
      </w:r>
      <w:r>
        <w:rPr>
          <w:rFonts w:ascii="Times New Roman" w:hAnsi="Times New Roman" w:cs="Times New Roman"/>
        </w:rPr>
        <w:t>执行《大气污染物综合排放标准》（GB16297-1996）表2中二级</w:t>
      </w:r>
      <w:r>
        <w:rPr>
          <w:rFonts w:ascii="Times New Roman" w:hAnsi="Times New Roman" w:cs="Times New Roman"/>
          <w:lang w:val="zh-CN"/>
        </w:rPr>
        <w:t>标准</w:t>
      </w:r>
      <w:r>
        <w:rPr>
          <w:rFonts w:hint="eastAsia" w:ascii="Times New Roman" w:hAnsi="Times New Roman" w:cs="Times New Roman"/>
          <w:lang w:val="zh-CN"/>
        </w:rPr>
        <w:t>；</w:t>
      </w:r>
      <w:r>
        <w:rPr>
          <w:rFonts w:hint="eastAsia" w:ascii="Times New Roman" w:hAnsi="Times New Roman" w:cs="Times New Roman"/>
          <w:lang w:val="en-US" w:eastAsia="zh-CN"/>
        </w:rPr>
        <w:t>烘干废气、天然气燃烧废气通过2#排气筒混合排放，执行标准须根据以下标准进行换算，VOCs排放浓度根据天津市地方标准《工业企业挥发性有机物排放控制标准》（DB12/524-2014）表2“表面涂装”中相应限值换算，</w:t>
      </w:r>
      <w:r>
        <w:rPr>
          <w:rFonts w:hint="eastAsia" w:ascii="Times New Roman" w:hAnsi="Times New Roman" w:cs="Times New Roman"/>
          <w:bCs/>
          <w:lang w:val="en-US" w:eastAsia="zh-CN"/>
        </w:rPr>
        <w:t>颗粒物、二氧化硫、氮氧化物排放浓度根据</w:t>
      </w:r>
      <w:r>
        <w:rPr>
          <w:rFonts w:ascii="Times New Roman" w:hAnsi="Times New Roman" w:cs="Times New Roman"/>
          <w:bCs/>
        </w:rPr>
        <w:t>《锅炉大气污染物排放标准》（GB13271-2014）表3中燃气锅炉排放大气污染物排放特别限值</w:t>
      </w:r>
      <w:r>
        <w:rPr>
          <w:rFonts w:hint="eastAsia" w:ascii="Times New Roman" w:hAnsi="Times New Roman" w:cs="Times New Roman"/>
          <w:bCs/>
          <w:lang w:val="en-US" w:eastAsia="zh-CN"/>
        </w:rPr>
        <w:t>进行换算，</w:t>
      </w:r>
      <w:r>
        <w:rPr>
          <w:rFonts w:ascii="Times New Roman" w:hAnsi="Times New Roman" w:cs="Times New Roman"/>
          <w:bCs/>
        </w:rPr>
        <w:t>乙酸丁酯、丁醇排放标准根据《制定地方大气污染物排放标准的技术方法》（GB/T13201-91）推算得出</w:t>
      </w:r>
      <w:r>
        <w:rPr>
          <w:rFonts w:hint="eastAsia" w:ascii="Times New Roman" w:hAnsi="Times New Roman" w:cs="Times New Roman"/>
          <w:bCs/>
          <w:lang w:val="en-US" w:eastAsia="zh-CN"/>
        </w:rPr>
        <w:t>。</w:t>
      </w:r>
    </w:p>
    <w:p>
      <w:pPr>
        <w:pStyle w:val="7"/>
        <w:bidi w:val="0"/>
        <w:rPr>
          <w:rFonts w:ascii="Times New Roman" w:hAnsi="Times New Roman" w:cs="Times New Roman"/>
          <w:b/>
          <w:kern w:val="44"/>
          <w:sz w:val="21"/>
          <w:szCs w:val="21"/>
          <w:lang w:val="zh-CN"/>
        </w:rPr>
      </w:pPr>
      <w:r>
        <w:t>表</w:t>
      </w:r>
      <w:r>
        <w:rPr>
          <w:rFonts w:hint="eastAsia"/>
          <w:lang w:eastAsia="zh-CN"/>
        </w:rPr>
        <w:t>6-3</w:t>
      </w:r>
      <w:r>
        <w:rPr>
          <w:rFonts w:hint="eastAsia"/>
          <w:lang w:val="en-US" w:eastAsia="zh-CN"/>
        </w:rPr>
        <w:t xml:space="preserve"> </w:t>
      </w:r>
      <w:r>
        <w:rPr>
          <w:rFonts w:hint="eastAsia"/>
          <w:lang w:eastAsia="zh-CN"/>
        </w:rPr>
        <w:t xml:space="preserve"> 大气污染物排放标准</w:t>
      </w:r>
    </w:p>
    <w:tbl>
      <w:tblPr>
        <w:tblStyle w:val="23"/>
        <w:tblW w:w="9552" w:type="dxa"/>
        <w:jc w:val="center"/>
        <w:tblInd w:w="31"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61"/>
        <w:gridCol w:w="1187"/>
        <w:gridCol w:w="760"/>
        <w:gridCol w:w="782"/>
        <w:gridCol w:w="1767"/>
        <w:gridCol w:w="3095"/>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61" w:type="dxa"/>
            <w:vMerge w:val="restart"/>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污染物</w:t>
            </w:r>
          </w:p>
          <w:p>
            <w:pPr>
              <w:jc w:val="center"/>
              <w:rPr>
                <w:rFonts w:ascii="Times New Roman" w:hAnsi="Times New Roman" w:cs="Times New Roman"/>
                <w:b/>
                <w:bCs/>
                <w:szCs w:val="21"/>
              </w:rPr>
            </w:pPr>
            <w:r>
              <w:rPr>
                <w:rFonts w:ascii="Times New Roman" w:hAnsi="Times New Roman" w:cs="Times New Roman"/>
                <w:b/>
                <w:bCs/>
                <w:szCs w:val="21"/>
              </w:rPr>
              <w:t>名称</w:t>
            </w:r>
          </w:p>
        </w:tc>
        <w:tc>
          <w:tcPr>
            <w:tcW w:w="1187" w:type="dxa"/>
            <w:vMerge w:val="restart"/>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最高允许排放浓度(mg/Nm</w:t>
            </w:r>
            <w:r>
              <w:rPr>
                <w:rFonts w:ascii="Times New Roman" w:hAnsi="Times New Roman" w:cs="Times New Roman"/>
                <w:b/>
                <w:bCs/>
                <w:szCs w:val="21"/>
                <w:vertAlign w:val="superscript"/>
              </w:rPr>
              <w:t>3</w:t>
            </w:r>
            <w:r>
              <w:rPr>
                <w:rFonts w:ascii="Times New Roman" w:hAnsi="Times New Roman" w:cs="Times New Roman"/>
                <w:b/>
                <w:bCs/>
                <w:szCs w:val="21"/>
              </w:rPr>
              <w:t>)</w:t>
            </w:r>
          </w:p>
        </w:tc>
        <w:tc>
          <w:tcPr>
            <w:tcW w:w="1542" w:type="dxa"/>
            <w:gridSpan w:val="2"/>
            <w:tcBorders>
              <w:tl2br w:val="nil"/>
              <w:tr2bl w:val="nil"/>
            </w:tcBorders>
            <w:tcMar>
              <w:left w:w="0" w:type="dxa"/>
              <w:right w:w="0" w:type="dxa"/>
            </w:tcMar>
            <w:vAlign w:val="center"/>
          </w:tcPr>
          <w:p>
            <w:pPr>
              <w:jc w:val="both"/>
              <w:rPr>
                <w:rFonts w:ascii="Times New Roman" w:hAnsi="Times New Roman" w:cs="Times New Roman"/>
                <w:b/>
                <w:bCs/>
                <w:szCs w:val="21"/>
              </w:rPr>
            </w:pPr>
            <w:r>
              <w:rPr>
                <w:rFonts w:ascii="Times New Roman" w:hAnsi="Times New Roman" w:cs="Times New Roman"/>
                <w:b/>
                <w:bCs/>
                <w:szCs w:val="21"/>
              </w:rPr>
              <w:t>最高允许排放速率（kg/h）</w:t>
            </w:r>
          </w:p>
        </w:tc>
        <w:tc>
          <w:tcPr>
            <w:tcW w:w="1767" w:type="dxa"/>
            <w:tcBorders>
              <w:tl2br w:val="nil"/>
              <w:tr2bl w:val="nil"/>
            </w:tcBorders>
            <w:tcMar>
              <w:left w:w="0" w:type="dxa"/>
              <w:right w:w="0" w:type="dxa"/>
            </w:tcMar>
            <w:vAlign w:val="center"/>
          </w:tcPr>
          <w:p>
            <w:pPr>
              <w:jc w:val="both"/>
              <w:rPr>
                <w:rFonts w:ascii="Times New Roman" w:hAnsi="Times New Roman" w:cs="Times New Roman"/>
                <w:b/>
                <w:bCs/>
                <w:szCs w:val="21"/>
              </w:rPr>
            </w:pPr>
            <w:r>
              <w:rPr>
                <w:rFonts w:ascii="Times New Roman" w:hAnsi="Times New Roman" w:cs="Times New Roman"/>
                <w:b/>
                <w:bCs/>
                <w:szCs w:val="21"/>
              </w:rPr>
              <w:t>无组织排放监控浓度限值</w:t>
            </w:r>
          </w:p>
        </w:tc>
        <w:tc>
          <w:tcPr>
            <w:tcW w:w="3095" w:type="dxa"/>
            <w:vMerge w:val="restart"/>
            <w:tcBorders>
              <w:tl2br w:val="nil"/>
              <w:tr2bl w:val="nil"/>
            </w:tcBorders>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b/>
                <w:bCs/>
                <w:szCs w:val="21"/>
              </w:rPr>
              <w:t>标准来源</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61" w:type="dxa"/>
            <w:vMerge w:val="continue"/>
            <w:tcBorders>
              <w:tl2br w:val="nil"/>
              <w:tr2bl w:val="nil"/>
            </w:tcBorders>
            <w:vAlign w:val="center"/>
          </w:tcPr>
          <w:p>
            <w:pPr>
              <w:jc w:val="center"/>
              <w:rPr>
                <w:rFonts w:ascii="Times New Roman" w:hAnsi="Times New Roman" w:cs="Times New Roman"/>
                <w:b/>
                <w:bCs/>
                <w:szCs w:val="21"/>
              </w:rPr>
            </w:pPr>
          </w:p>
        </w:tc>
        <w:tc>
          <w:tcPr>
            <w:tcW w:w="1187" w:type="dxa"/>
            <w:vMerge w:val="continue"/>
            <w:tcBorders>
              <w:tl2br w:val="nil"/>
              <w:tr2bl w:val="nil"/>
            </w:tcBorders>
            <w:vAlign w:val="center"/>
          </w:tcPr>
          <w:p>
            <w:pPr>
              <w:jc w:val="center"/>
              <w:rPr>
                <w:rFonts w:ascii="Times New Roman" w:hAnsi="Times New Roman" w:cs="Times New Roman"/>
                <w:b/>
                <w:bCs/>
                <w:szCs w:val="21"/>
              </w:rPr>
            </w:pPr>
          </w:p>
        </w:tc>
        <w:tc>
          <w:tcPr>
            <w:tcW w:w="760" w:type="dxa"/>
            <w:tcBorders>
              <w:tl2br w:val="nil"/>
              <w:tr2bl w:val="nil"/>
            </w:tcBorders>
            <w:tcMar>
              <w:left w:w="0" w:type="dxa"/>
              <w:right w:w="0" w:type="dxa"/>
            </w:tcMar>
            <w:vAlign w:val="center"/>
          </w:tcPr>
          <w:p>
            <w:pPr>
              <w:jc w:val="center"/>
              <w:rPr>
                <w:rFonts w:ascii="Times New Roman" w:hAnsi="Times New Roman" w:cs="Times New Roman"/>
                <w:b/>
                <w:bCs/>
                <w:szCs w:val="21"/>
              </w:rPr>
            </w:pPr>
            <w:r>
              <w:rPr>
                <w:rFonts w:ascii="Times New Roman" w:hAnsi="Times New Roman" w:cs="Times New Roman"/>
                <w:b/>
                <w:bCs/>
                <w:szCs w:val="21"/>
              </w:rPr>
              <w:t>排气筒（m）</w:t>
            </w:r>
          </w:p>
        </w:tc>
        <w:tc>
          <w:tcPr>
            <w:tcW w:w="782" w:type="dxa"/>
            <w:tcBorders>
              <w:tl2br w:val="nil"/>
              <w:tr2bl w:val="nil"/>
            </w:tcBorders>
            <w:tcMar>
              <w:left w:w="0" w:type="dxa"/>
              <w:right w:w="0" w:type="dxa"/>
            </w:tcMar>
            <w:vAlign w:val="center"/>
          </w:tcPr>
          <w:p>
            <w:pPr>
              <w:jc w:val="center"/>
              <w:rPr>
                <w:rFonts w:ascii="Times New Roman" w:hAnsi="Times New Roman" w:cs="Times New Roman"/>
                <w:b/>
                <w:bCs/>
                <w:szCs w:val="21"/>
              </w:rPr>
            </w:pPr>
            <w:r>
              <w:rPr>
                <w:rFonts w:ascii="Times New Roman" w:hAnsi="Times New Roman" w:cs="Times New Roman"/>
                <w:b/>
                <w:bCs/>
                <w:szCs w:val="21"/>
              </w:rPr>
              <w:t>二级</w:t>
            </w:r>
          </w:p>
        </w:tc>
        <w:tc>
          <w:tcPr>
            <w:tcW w:w="1767" w:type="dxa"/>
            <w:tcBorders>
              <w:tl2br w:val="nil"/>
              <w:tr2bl w:val="nil"/>
            </w:tcBorders>
            <w:tcMar>
              <w:left w:w="0" w:type="dxa"/>
              <w:right w:w="0" w:type="dxa"/>
            </w:tcMar>
            <w:vAlign w:val="center"/>
          </w:tcPr>
          <w:p>
            <w:pPr>
              <w:jc w:val="center"/>
              <w:rPr>
                <w:rFonts w:ascii="Times New Roman" w:hAnsi="Times New Roman" w:cs="Times New Roman"/>
                <w:b/>
                <w:bCs/>
                <w:szCs w:val="21"/>
              </w:rPr>
            </w:pPr>
            <w:r>
              <w:rPr>
                <w:rFonts w:ascii="Times New Roman" w:hAnsi="Times New Roman" w:cs="Times New Roman"/>
                <w:b/>
                <w:bCs/>
                <w:szCs w:val="21"/>
              </w:rPr>
              <w:t>浓度（mg/Nm</w:t>
            </w:r>
            <w:r>
              <w:rPr>
                <w:rFonts w:ascii="Times New Roman" w:hAnsi="Times New Roman" w:cs="Times New Roman"/>
                <w:b/>
                <w:bCs/>
                <w:szCs w:val="21"/>
                <w:vertAlign w:val="superscript"/>
              </w:rPr>
              <w:t>3</w:t>
            </w:r>
            <w:r>
              <w:rPr>
                <w:rFonts w:ascii="Times New Roman" w:hAnsi="Times New Roman" w:cs="Times New Roman"/>
                <w:b/>
                <w:bCs/>
                <w:szCs w:val="21"/>
              </w:rPr>
              <w:t>）</w:t>
            </w:r>
          </w:p>
        </w:tc>
        <w:tc>
          <w:tcPr>
            <w:tcW w:w="3095"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default" w:ascii="Times New Roman" w:hAnsi="Times New Roman" w:cs="Times New Roman" w:eastAsiaTheme="minorEastAsia"/>
                <w:bCs/>
                <w:szCs w:val="21"/>
                <w:lang w:val="en-US" w:eastAsia="zh-CN"/>
              </w:rPr>
            </w:pPr>
            <w:r>
              <w:rPr>
                <w:rFonts w:hint="eastAsia" w:ascii="Times New Roman" w:hAnsi="Times New Roman" w:cs="Times New Roman"/>
                <w:bCs/>
                <w:szCs w:val="21"/>
                <w:lang w:val="en-US" w:eastAsia="zh-CN"/>
              </w:rPr>
              <w:t>1# VOCs</w:t>
            </w:r>
          </w:p>
        </w:tc>
        <w:tc>
          <w:tcPr>
            <w:tcW w:w="1187" w:type="dxa"/>
            <w:tcBorders>
              <w:tl2br w:val="nil"/>
              <w:tr2bl w:val="nil"/>
            </w:tcBorders>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60</w:t>
            </w:r>
          </w:p>
        </w:tc>
        <w:tc>
          <w:tcPr>
            <w:tcW w:w="760" w:type="dxa"/>
            <w:vMerge w:val="restart"/>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15</w:t>
            </w: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1.5</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2.0</w:t>
            </w:r>
          </w:p>
        </w:tc>
        <w:tc>
          <w:tcPr>
            <w:tcW w:w="3095" w:type="dxa"/>
            <w:tcBorders>
              <w:tl2br w:val="nil"/>
              <w:tr2bl w:val="nil"/>
            </w:tcBorders>
            <w:tcMar>
              <w:left w:w="0" w:type="dxa"/>
              <w:right w:w="0" w:type="dxa"/>
            </w:tcMar>
            <w:vAlign w:val="center"/>
          </w:tcPr>
          <w:p>
            <w:pPr>
              <w:jc w:val="both"/>
              <w:rPr>
                <w:rFonts w:ascii="Times New Roman" w:hAnsi="Times New Roman" w:cs="Times New Roman"/>
                <w:szCs w:val="21"/>
              </w:rPr>
            </w:pPr>
            <w:r>
              <w:rPr>
                <w:rFonts w:hint="eastAsia" w:ascii="Times New Roman" w:hAnsi="Times New Roman" w:cs="Times New Roman"/>
                <w:szCs w:val="21"/>
              </w:rPr>
              <w:t>《工业企业挥发性有机物排放控制标准》（DB12/524-2014）表2、表5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default" w:ascii="Times New Roman" w:hAnsi="Times New Roman" w:cs="Times New Roman"/>
                <w:bCs/>
                <w:szCs w:val="21"/>
                <w:lang w:val="en-US" w:eastAsia="zh-CN"/>
              </w:rPr>
            </w:pPr>
            <w:r>
              <w:rPr>
                <w:rFonts w:hint="eastAsia" w:ascii="Times New Roman" w:hAnsi="Times New Roman" w:cs="Times New Roman"/>
                <w:bCs/>
                <w:szCs w:val="21"/>
                <w:lang w:val="en-US" w:eastAsia="zh-CN"/>
              </w:rPr>
              <w:t>1# 丁醇</w:t>
            </w:r>
          </w:p>
        </w:tc>
        <w:tc>
          <w:tcPr>
            <w:tcW w:w="1187"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0.51</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0.4</w:t>
            </w:r>
          </w:p>
        </w:tc>
        <w:tc>
          <w:tcPr>
            <w:tcW w:w="3095" w:type="dxa"/>
            <w:vMerge w:val="restart"/>
            <w:tcBorders>
              <w:tl2br w:val="nil"/>
              <w:tr2bl w:val="nil"/>
            </w:tcBorders>
            <w:tcMar>
              <w:left w:w="0" w:type="dxa"/>
              <w:right w:w="0" w:type="dxa"/>
            </w:tcMar>
            <w:vAlign w:val="center"/>
          </w:tcPr>
          <w:p>
            <w:pPr>
              <w:jc w:val="both"/>
              <w:rPr>
                <w:rFonts w:ascii="Times New Roman" w:hAnsi="Times New Roman" w:cs="Times New Roman"/>
                <w:szCs w:val="21"/>
              </w:rPr>
            </w:pPr>
            <w:r>
              <w:rPr>
                <w:rFonts w:ascii="Times New Roman" w:hAnsi="Times New Roman" w:cs="Times New Roman"/>
                <w:szCs w:val="21"/>
              </w:rPr>
              <w:t>根据《制定地方大气污染物排放标准的技术方法》（GB/T13201-91）推算标准限值</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default" w:ascii="Times New Roman" w:hAnsi="Times New Roman" w:cs="Times New Roman"/>
                <w:bCs/>
                <w:szCs w:val="21"/>
                <w:lang w:val="en-US" w:eastAsia="zh-CN"/>
              </w:rPr>
            </w:pPr>
            <w:r>
              <w:rPr>
                <w:rFonts w:hint="eastAsia" w:ascii="Times New Roman" w:hAnsi="Times New Roman" w:cs="Times New Roman"/>
                <w:bCs/>
                <w:szCs w:val="21"/>
                <w:lang w:val="en-US" w:eastAsia="zh-CN"/>
              </w:rPr>
              <w:t>1# 乙酸丁酯</w:t>
            </w:r>
          </w:p>
        </w:tc>
        <w:tc>
          <w:tcPr>
            <w:tcW w:w="1187"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0.51</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0.4</w:t>
            </w:r>
          </w:p>
        </w:tc>
        <w:tc>
          <w:tcPr>
            <w:tcW w:w="3095" w:type="dxa"/>
            <w:vMerge w:val="continue"/>
            <w:tcBorders>
              <w:tl2br w:val="nil"/>
              <w:tr2bl w:val="nil"/>
            </w:tcBorders>
            <w:tcMar>
              <w:left w:w="0" w:type="dxa"/>
              <w:right w:w="0" w:type="dxa"/>
            </w:tcMar>
            <w:vAlign w:val="center"/>
          </w:tcPr>
          <w:p>
            <w:pPr>
              <w:jc w:val="both"/>
              <w:rPr>
                <w:rFonts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default" w:ascii="Times New Roman" w:hAnsi="Times New Roman" w:cs="Times New Roman"/>
                <w:bCs/>
                <w:szCs w:val="21"/>
                <w:lang w:val="en-US" w:eastAsia="zh-CN"/>
              </w:rPr>
            </w:pPr>
            <w:r>
              <w:rPr>
                <w:rFonts w:hint="eastAsia" w:ascii="Times New Roman" w:hAnsi="Times New Roman" w:cs="Times New Roman"/>
                <w:bCs/>
                <w:szCs w:val="21"/>
                <w:lang w:val="en-US" w:eastAsia="zh-CN"/>
              </w:rPr>
              <w:t>1# 颗粒物</w:t>
            </w:r>
          </w:p>
        </w:tc>
        <w:tc>
          <w:tcPr>
            <w:tcW w:w="1187" w:type="dxa"/>
            <w:tcBorders>
              <w:tl2br w:val="nil"/>
              <w:tr2bl w:val="nil"/>
            </w:tcBorders>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120</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3.5</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1.0</w:t>
            </w:r>
          </w:p>
        </w:tc>
        <w:tc>
          <w:tcPr>
            <w:tcW w:w="3095" w:type="dxa"/>
            <w:tcBorders>
              <w:tl2br w:val="nil"/>
              <w:tr2bl w:val="nil"/>
            </w:tcBorders>
            <w:tcMar>
              <w:left w:w="0" w:type="dxa"/>
              <w:right w:w="0" w:type="dxa"/>
            </w:tcMar>
            <w:vAlign w:val="center"/>
          </w:tcPr>
          <w:p>
            <w:pPr>
              <w:jc w:val="both"/>
              <w:rPr>
                <w:rFonts w:ascii="Times New Roman" w:hAnsi="Times New Roman" w:cs="Times New Roman"/>
                <w:szCs w:val="21"/>
              </w:rPr>
            </w:pPr>
            <w:r>
              <w:rPr>
                <w:rFonts w:ascii="Times New Roman" w:hAnsi="Times New Roman" w:cs="Times New Roman"/>
                <w:color w:val="auto"/>
                <w:szCs w:val="21"/>
              </w:rPr>
              <w:t>《大气污染物综合排放标准》（GB16297-1996）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default" w:ascii="Times New Roman" w:hAnsi="Times New Roman" w:cs="Times New Roman"/>
                <w:bCs/>
                <w:szCs w:val="21"/>
                <w:lang w:val="en-US" w:eastAsia="zh-CN"/>
              </w:rPr>
            </w:pPr>
            <w:r>
              <w:rPr>
                <w:rFonts w:hint="eastAsia" w:ascii="Times New Roman" w:hAnsi="Times New Roman" w:cs="Times New Roman"/>
                <w:bCs/>
                <w:szCs w:val="21"/>
                <w:lang w:val="en-US" w:eastAsia="zh-CN"/>
              </w:rPr>
              <w:t>2# VOCs</w:t>
            </w:r>
          </w:p>
        </w:tc>
        <w:tc>
          <w:tcPr>
            <w:tcW w:w="118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46.04</w:t>
            </w:r>
          </w:p>
        </w:tc>
        <w:tc>
          <w:tcPr>
            <w:tcW w:w="760" w:type="dxa"/>
            <w:vMerge w:val="restart"/>
            <w:tcBorders>
              <w:tl2br w:val="nil"/>
              <w:tr2bl w:val="nil"/>
            </w:tcBorders>
            <w:tcMar>
              <w:left w:w="0" w:type="dxa"/>
              <w:right w:w="0" w:type="dxa"/>
            </w:tcMar>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15</w:t>
            </w: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1.5</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2.0</w:t>
            </w:r>
          </w:p>
        </w:tc>
        <w:tc>
          <w:tcPr>
            <w:tcW w:w="3095" w:type="dxa"/>
            <w:tcBorders>
              <w:tl2br w:val="nil"/>
              <w:tr2bl w:val="nil"/>
            </w:tcBorders>
            <w:tcMar>
              <w:left w:w="0" w:type="dxa"/>
              <w:right w:w="0" w:type="dxa"/>
            </w:tcMar>
            <w:vAlign w:val="center"/>
          </w:tcPr>
          <w:p>
            <w:pPr>
              <w:jc w:val="both"/>
              <w:rPr>
                <w:rFonts w:ascii="Times New Roman" w:hAnsi="Times New Roman" w:cs="Times New Roman"/>
                <w:color w:val="auto"/>
                <w:szCs w:val="21"/>
              </w:rPr>
            </w:pPr>
            <w:r>
              <w:rPr>
                <w:rFonts w:hint="eastAsia" w:ascii="Times New Roman" w:hAnsi="Times New Roman" w:cs="Times New Roman"/>
                <w:szCs w:val="21"/>
              </w:rPr>
              <w:t>《工业企业挥发性有机物排放控制标准》（DB12/524-2014）表2、表5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eastAsia" w:ascii="Times New Roman" w:hAnsi="Times New Roman" w:cs="Times New Roman"/>
                <w:bCs/>
                <w:szCs w:val="21"/>
                <w:lang w:val="en-US" w:eastAsia="zh-CN"/>
              </w:rPr>
            </w:pPr>
            <w:r>
              <w:rPr>
                <w:rFonts w:hint="eastAsia" w:ascii="Times New Roman" w:hAnsi="Times New Roman" w:cs="Times New Roman"/>
                <w:bCs/>
                <w:szCs w:val="21"/>
                <w:lang w:val="en-US" w:eastAsia="zh-CN"/>
              </w:rPr>
              <w:t>2# 丁醇</w:t>
            </w:r>
          </w:p>
        </w:tc>
        <w:tc>
          <w:tcPr>
            <w:tcW w:w="118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0.51</w:t>
            </w:r>
          </w:p>
        </w:tc>
        <w:tc>
          <w:tcPr>
            <w:tcW w:w="1767" w:type="dxa"/>
            <w:tcBorders>
              <w:tl2br w:val="nil"/>
              <w:tr2bl w:val="nil"/>
            </w:tcBorders>
            <w:tcMar>
              <w:left w:w="0" w:type="dxa"/>
              <w:right w:w="0" w:type="dxa"/>
            </w:tcMar>
            <w:vAlign w:val="center"/>
          </w:tcPr>
          <w:p>
            <w:pPr>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0.4</w:t>
            </w:r>
          </w:p>
        </w:tc>
        <w:tc>
          <w:tcPr>
            <w:tcW w:w="3095" w:type="dxa"/>
            <w:vMerge w:val="restart"/>
            <w:tcBorders>
              <w:tl2br w:val="nil"/>
              <w:tr2bl w:val="nil"/>
            </w:tcBorders>
            <w:tcMar>
              <w:left w:w="0" w:type="dxa"/>
              <w:right w:w="0" w:type="dxa"/>
            </w:tcMar>
            <w:vAlign w:val="center"/>
          </w:tcPr>
          <w:p>
            <w:pPr>
              <w:jc w:val="both"/>
              <w:rPr>
                <w:rFonts w:hint="eastAsia" w:ascii="Times New Roman" w:hAnsi="Times New Roman" w:cs="Times New Roman"/>
                <w:szCs w:val="21"/>
              </w:rPr>
            </w:pPr>
            <w:r>
              <w:rPr>
                <w:rFonts w:ascii="Times New Roman" w:hAnsi="Times New Roman" w:cs="Times New Roman"/>
                <w:szCs w:val="21"/>
              </w:rPr>
              <w:t>根据《制定地方大气污染物排放标准的技术方法》（GB/T13201-91）推算标准限值</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eastAsia" w:ascii="Times New Roman" w:hAnsi="Times New Roman" w:cs="Times New Roman"/>
                <w:bCs/>
                <w:szCs w:val="21"/>
                <w:lang w:val="en-US" w:eastAsia="zh-CN"/>
              </w:rPr>
            </w:pPr>
            <w:r>
              <w:rPr>
                <w:rFonts w:hint="eastAsia" w:ascii="Times New Roman" w:hAnsi="Times New Roman" w:cs="Times New Roman"/>
                <w:bCs/>
                <w:szCs w:val="21"/>
                <w:lang w:val="en-US" w:eastAsia="zh-CN"/>
              </w:rPr>
              <w:t>2# 乙酸丁酯</w:t>
            </w:r>
          </w:p>
        </w:tc>
        <w:tc>
          <w:tcPr>
            <w:tcW w:w="118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0.51</w:t>
            </w:r>
          </w:p>
        </w:tc>
        <w:tc>
          <w:tcPr>
            <w:tcW w:w="1767" w:type="dxa"/>
            <w:tcBorders>
              <w:tl2br w:val="nil"/>
              <w:tr2bl w:val="nil"/>
            </w:tcBorders>
            <w:tcMar>
              <w:left w:w="0" w:type="dxa"/>
              <w:right w:w="0" w:type="dxa"/>
            </w:tcMar>
            <w:vAlign w:val="center"/>
          </w:tcPr>
          <w:p>
            <w:pPr>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0.4</w:t>
            </w:r>
          </w:p>
        </w:tc>
        <w:tc>
          <w:tcPr>
            <w:tcW w:w="3095" w:type="dxa"/>
            <w:vMerge w:val="continue"/>
            <w:tcBorders>
              <w:tl2br w:val="nil"/>
              <w:tr2bl w:val="nil"/>
            </w:tcBorders>
            <w:tcMar>
              <w:left w:w="0" w:type="dxa"/>
              <w:right w:w="0" w:type="dxa"/>
            </w:tcMar>
            <w:vAlign w:val="center"/>
          </w:tcPr>
          <w:p>
            <w:pPr>
              <w:jc w:val="both"/>
              <w:rPr>
                <w:rFonts w:hint="eastAsia"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eastAsia" w:ascii="Times New Roman" w:hAnsi="Times New Roman" w:cs="Times New Roman"/>
                <w:bCs/>
                <w:szCs w:val="21"/>
                <w:lang w:val="en-US" w:eastAsia="zh-CN"/>
              </w:rPr>
            </w:pPr>
            <w:r>
              <w:rPr>
                <w:rFonts w:hint="eastAsia" w:ascii="Times New Roman" w:hAnsi="Times New Roman" w:cs="Times New Roman"/>
                <w:bCs/>
                <w:szCs w:val="21"/>
                <w:lang w:val="en-US" w:eastAsia="zh-CN"/>
              </w:rPr>
              <w:t>2# 颗粒物</w:t>
            </w:r>
          </w:p>
        </w:tc>
        <w:tc>
          <w:tcPr>
            <w:tcW w:w="118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1.58</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3095" w:type="dxa"/>
            <w:vMerge w:val="restart"/>
            <w:tcBorders>
              <w:tl2br w:val="nil"/>
              <w:tr2bl w:val="nil"/>
            </w:tcBorders>
            <w:tcMar>
              <w:left w:w="0" w:type="dxa"/>
              <w:right w:w="0" w:type="dxa"/>
            </w:tcMar>
            <w:vAlign w:val="center"/>
          </w:tcPr>
          <w:p>
            <w:pPr>
              <w:jc w:val="both"/>
              <w:rPr>
                <w:rFonts w:hint="eastAsia" w:ascii="Times New Roman" w:hAnsi="Times New Roman" w:cs="Times New Roman"/>
                <w:szCs w:val="21"/>
              </w:rPr>
            </w:pPr>
            <w:r>
              <w:rPr>
                <w:rFonts w:ascii="Times New Roman" w:hAnsi="Times New Roman" w:cs="Times New Roman"/>
                <w:bCs/>
                <w:szCs w:val="21"/>
              </w:rPr>
              <w:t>《锅炉大气污染物排放标准》（GB13271-2014）表3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eastAsia" w:ascii="Times New Roman" w:hAnsi="Times New Roman" w:cs="Times New Roman"/>
                <w:bCs/>
                <w:szCs w:val="21"/>
                <w:lang w:val="en-US" w:eastAsia="zh-CN"/>
              </w:rPr>
            </w:pPr>
            <w:r>
              <w:rPr>
                <w:rFonts w:hint="eastAsia" w:ascii="Times New Roman" w:hAnsi="Times New Roman" w:cs="Times New Roman"/>
                <w:bCs/>
                <w:szCs w:val="21"/>
                <w:lang w:val="en-US" w:eastAsia="zh-CN"/>
              </w:rPr>
              <w:t>2# 二氧化硫</w:t>
            </w:r>
          </w:p>
        </w:tc>
        <w:tc>
          <w:tcPr>
            <w:tcW w:w="118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3.96</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3095" w:type="dxa"/>
            <w:vMerge w:val="continue"/>
            <w:tcBorders>
              <w:tl2br w:val="nil"/>
              <w:tr2bl w:val="nil"/>
            </w:tcBorders>
            <w:tcMar>
              <w:left w:w="0" w:type="dxa"/>
              <w:right w:w="0" w:type="dxa"/>
            </w:tcMar>
            <w:vAlign w:val="center"/>
          </w:tcPr>
          <w:p>
            <w:pPr>
              <w:jc w:val="center"/>
              <w:rPr>
                <w:rFonts w:hint="eastAsia" w:ascii="Times New Roman" w:hAnsi="Times New Roman"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jc w:val="center"/>
        </w:trPr>
        <w:tc>
          <w:tcPr>
            <w:tcW w:w="1961" w:type="dxa"/>
            <w:tcBorders>
              <w:tl2br w:val="nil"/>
              <w:tr2bl w:val="nil"/>
            </w:tcBorders>
            <w:vAlign w:val="center"/>
          </w:tcPr>
          <w:p>
            <w:pPr>
              <w:ind w:left="0" w:leftChars="0" w:firstLine="420" w:firstLineChars="200"/>
              <w:jc w:val="both"/>
              <w:rPr>
                <w:rFonts w:hint="eastAsia" w:ascii="Times New Roman" w:hAnsi="Times New Roman" w:cs="Times New Roman"/>
                <w:bCs/>
                <w:szCs w:val="21"/>
                <w:lang w:val="en-US" w:eastAsia="zh-CN"/>
              </w:rPr>
            </w:pPr>
            <w:r>
              <w:rPr>
                <w:rFonts w:hint="eastAsia" w:ascii="Times New Roman" w:hAnsi="Times New Roman" w:cs="Times New Roman"/>
                <w:bCs/>
                <w:szCs w:val="21"/>
                <w:lang w:val="en-US" w:eastAsia="zh-CN"/>
              </w:rPr>
              <w:t>2# 氮氧化物</w:t>
            </w:r>
          </w:p>
        </w:tc>
        <w:tc>
          <w:tcPr>
            <w:tcW w:w="118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15.84</w:t>
            </w:r>
          </w:p>
        </w:tc>
        <w:tc>
          <w:tcPr>
            <w:tcW w:w="760" w:type="dxa"/>
            <w:vMerge w:val="continue"/>
            <w:tcBorders>
              <w:tl2br w:val="nil"/>
              <w:tr2bl w:val="nil"/>
            </w:tcBorders>
            <w:tcMar>
              <w:left w:w="0" w:type="dxa"/>
              <w:right w:w="0" w:type="dxa"/>
            </w:tcMar>
            <w:vAlign w:val="center"/>
          </w:tcPr>
          <w:p>
            <w:pPr>
              <w:jc w:val="center"/>
              <w:rPr>
                <w:rFonts w:ascii="Times New Roman" w:hAnsi="Times New Roman" w:cs="Times New Roman"/>
                <w:szCs w:val="21"/>
              </w:rPr>
            </w:pPr>
          </w:p>
        </w:tc>
        <w:tc>
          <w:tcPr>
            <w:tcW w:w="782"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1767" w:type="dxa"/>
            <w:tcBorders>
              <w:tl2br w:val="nil"/>
              <w:tr2bl w:val="nil"/>
            </w:tcBorders>
            <w:tcMar>
              <w:left w:w="0" w:type="dxa"/>
              <w:right w:w="0" w:type="dxa"/>
            </w:tcMar>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3095" w:type="dxa"/>
            <w:vMerge w:val="continue"/>
            <w:tcBorders>
              <w:tl2br w:val="nil"/>
              <w:tr2bl w:val="nil"/>
            </w:tcBorders>
            <w:tcMar>
              <w:left w:w="0" w:type="dxa"/>
              <w:right w:w="0" w:type="dxa"/>
            </w:tcMar>
            <w:vAlign w:val="center"/>
          </w:tcPr>
          <w:p>
            <w:pPr>
              <w:jc w:val="center"/>
              <w:rPr>
                <w:rFonts w:hint="eastAsia" w:ascii="Times New Roman" w:hAnsi="Times New Roman" w:cs="Times New Roman"/>
                <w:szCs w:val="21"/>
              </w:rPr>
            </w:pPr>
          </w:p>
        </w:tc>
      </w:tr>
    </w:tbl>
    <w:p>
      <w:pPr>
        <w:adjustRightInd w:val="0"/>
        <w:snapToGrid w:val="0"/>
        <w:spacing w:line="500" w:lineRule="exact"/>
        <w:ind w:firstLine="480" w:firstLineChars="200"/>
        <w:rPr>
          <w:rFonts w:ascii="Times New Roman" w:hAnsi="Times New Roman" w:cs="Times New Roman"/>
          <w:sz w:val="24"/>
        </w:rPr>
      </w:pPr>
      <w:r>
        <w:rPr>
          <w:rFonts w:ascii="Times New Roman" w:hAnsi="Times New Roman" w:cs="Times New Roman"/>
          <w:sz w:val="24"/>
        </w:rPr>
        <w:t>本项目不建设食堂，员工就餐依托美乐集团现有已建职工食堂</w:t>
      </w:r>
      <w:r>
        <w:rPr>
          <w:rFonts w:hint="eastAsia" w:ascii="Times New Roman" w:hAnsi="Times New Roman" w:cs="Times New Roman"/>
          <w:sz w:val="24"/>
        </w:rPr>
        <w:t>。</w:t>
      </w:r>
    </w:p>
    <w:p>
      <w:pPr>
        <w:pStyle w:val="4"/>
        <w:adjustRightInd w:val="0"/>
        <w:textAlignment w:val="baseline"/>
        <w:rPr>
          <w:rFonts w:ascii="Times New Roman"/>
          <w:sz w:val="24"/>
          <w:szCs w:val="24"/>
        </w:rPr>
      </w:pPr>
      <w:bookmarkStart w:id="142" w:name="_Toc3039"/>
      <w:bookmarkStart w:id="143" w:name="_Toc15633"/>
      <w:r>
        <w:rPr>
          <w:rFonts w:ascii="Times New Roman"/>
          <w:sz w:val="24"/>
          <w:szCs w:val="24"/>
        </w:rPr>
        <w:t>6.</w:t>
      </w:r>
      <w:r>
        <w:rPr>
          <w:rFonts w:hint="eastAsia" w:ascii="Times New Roman"/>
          <w:sz w:val="24"/>
          <w:szCs w:val="24"/>
        </w:rPr>
        <w:t>3</w:t>
      </w:r>
      <w:r>
        <w:rPr>
          <w:rFonts w:ascii="Times New Roman" w:hAnsi="宋体"/>
          <w:sz w:val="24"/>
          <w:szCs w:val="24"/>
        </w:rPr>
        <w:t>噪声排放标准</w:t>
      </w:r>
      <w:bookmarkEnd w:id="142"/>
      <w:bookmarkEnd w:id="143"/>
    </w:p>
    <w:p>
      <w:pPr>
        <w:adjustRightInd w:val="0"/>
        <w:snapToGrid w:val="0"/>
        <w:spacing w:line="500" w:lineRule="exact"/>
        <w:ind w:firstLine="480" w:firstLineChars="200"/>
        <w:rPr>
          <w:rFonts w:ascii="Times New Roman" w:hAnsi="Times New Roman" w:cs="Times New Roman"/>
          <w:sz w:val="24"/>
        </w:rPr>
      </w:pPr>
      <w:r>
        <w:rPr>
          <w:rFonts w:ascii="Times New Roman" w:hAnsi="Times New Roman" w:cs="Times New Roman"/>
          <w:sz w:val="24"/>
        </w:rPr>
        <w:t>本项目噪声排放执行《工业企业厂界环境噪声排放标准》（GB12348-2008）3类标准，详见表</w:t>
      </w:r>
      <w:r>
        <w:rPr>
          <w:rFonts w:hint="eastAsia" w:ascii="Times New Roman" w:hAnsi="Times New Roman" w:cs="Times New Roman"/>
          <w:sz w:val="24"/>
        </w:rPr>
        <w:t>6-4</w:t>
      </w:r>
      <w:r>
        <w:rPr>
          <w:rFonts w:ascii="Times New Roman" w:hAnsi="Times New Roman" w:cs="Times New Roman"/>
          <w:sz w:val="24"/>
        </w:rPr>
        <w:t>。</w:t>
      </w:r>
    </w:p>
    <w:p>
      <w:pPr>
        <w:pStyle w:val="7"/>
        <w:bidi w:val="0"/>
        <w:rPr>
          <w:rFonts w:hint="eastAsia"/>
          <w:lang w:val="zh-CN" w:eastAsia="zh-CN"/>
        </w:rPr>
      </w:pPr>
      <w:r>
        <w:t>表</w:t>
      </w:r>
      <w:r>
        <w:rPr>
          <w:rFonts w:hint="eastAsia"/>
          <w:lang w:eastAsia="zh-CN"/>
        </w:rPr>
        <w:t xml:space="preserve">6-4 </w:t>
      </w:r>
      <w:r>
        <w:rPr>
          <w:rFonts w:hint="eastAsia"/>
          <w:lang w:val="en-US" w:eastAsia="zh-CN"/>
        </w:rPr>
        <w:t xml:space="preserve"> </w:t>
      </w:r>
      <w:r>
        <w:rPr>
          <w:rFonts w:hint="eastAsia"/>
          <w:lang w:eastAsia="zh-CN"/>
        </w:rPr>
        <w:t>工业企业厂界环境噪声排放标准单位：dB(A)</w:t>
      </w:r>
    </w:p>
    <w:tbl>
      <w:tblPr>
        <w:tblStyle w:val="23"/>
        <w:tblW w:w="9164" w:type="dxa"/>
        <w:jc w:val="center"/>
        <w:tblInd w:w="116"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25"/>
        <w:gridCol w:w="1807"/>
        <w:gridCol w:w="1941"/>
        <w:gridCol w:w="2291"/>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3125"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标准</w:t>
            </w:r>
          </w:p>
        </w:tc>
        <w:tc>
          <w:tcPr>
            <w:tcW w:w="1807"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昼间</w:t>
            </w:r>
          </w:p>
        </w:tc>
        <w:tc>
          <w:tcPr>
            <w:tcW w:w="1941"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夜间</w:t>
            </w:r>
          </w:p>
        </w:tc>
        <w:tc>
          <w:tcPr>
            <w:tcW w:w="2291"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标准来源</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312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3类标准</w:t>
            </w:r>
          </w:p>
        </w:tc>
        <w:tc>
          <w:tcPr>
            <w:tcW w:w="180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65</w:t>
            </w:r>
          </w:p>
        </w:tc>
        <w:tc>
          <w:tcPr>
            <w:tcW w:w="1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55</w:t>
            </w:r>
          </w:p>
        </w:tc>
        <w:tc>
          <w:tcPr>
            <w:tcW w:w="229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GB12348-2008</w:t>
            </w:r>
          </w:p>
        </w:tc>
      </w:tr>
    </w:tbl>
    <w:p>
      <w:pPr>
        <w:pStyle w:val="4"/>
        <w:adjustRightInd w:val="0"/>
        <w:textAlignment w:val="baseline"/>
        <w:rPr>
          <w:rFonts w:ascii="Times New Roman"/>
          <w:sz w:val="24"/>
          <w:szCs w:val="24"/>
        </w:rPr>
      </w:pPr>
      <w:bookmarkStart w:id="144" w:name="_Toc3117"/>
      <w:bookmarkStart w:id="145" w:name="_Toc28918_WPSOffice_Level2"/>
      <w:r>
        <w:rPr>
          <w:rFonts w:ascii="Times New Roman"/>
          <w:sz w:val="24"/>
          <w:szCs w:val="24"/>
        </w:rPr>
        <w:t>6.4总量控制</w:t>
      </w:r>
      <w:bookmarkEnd w:id="144"/>
      <w:bookmarkEnd w:id="145"/>
    </w:p>
    <w:p>
      <w:pPr>
        <w:pStyle w:val="9"/>
        <w:spacing w:line="360" w:lineRule="auto"/>
        <w:rPr>
          <w:rFonts w:hint="eastAsia" w:ascii="Times New Roman" w:hAnsi="Times New Roman" w:cs="Times New Roman" w:eastAsiaTheme="minorEastAsia"/>
          <w:sz w:val="24"/>
          <w:szCs w:val="24"/>
        </w:rPr>
      </w:pPr>
      <w:r>
        <w:rPr>
          <w:rFonts w:ascii="Times New Roman" w:hAnsi="Times New Roman" w:cs="Times New Roman" w:eastAsiaTheme="minorEastAsia"/>
          <w:sz w:val="24"/>
          <w:szCs w:val="24"/>
        </w:rPr>
        <w:t>总量控制指标见表6-</w:t>
      </w:r>
      <w:r>
        <w:rPr>
          <w:rFonts w:hint="eastAsia" w:ascii="Times New Roman" w:hAnsi="Times New Roman" w:cs="Times New Roman" w:eastAsiaTheme="minorEastAsia"/>
          <w:sz w:val="24"/>
          <w:szCs w:val="24"/>
        </w:rPr>
        <w:t>5。</w:t>
      </w:r>
    </w:p>
    <w:p>
      <w:pPr>
        <w:pStyle w:val="7"/>
        <w:bidi w:val="0"/>
      </w:pPr>
      <w:bookmarkStart w:id="146" w:name="_Toc13760_WPSOffice_Level2"/>
    </w:p>
    <w:p>
      <w:pPr>
        <w:pStyle w:val="7"/>
        <w:bidi w:val="0"/>
      </w:pPr>
      <w:r>
        <w:t>表</w:t>
      </w:r>
      <w:r>
        <w:rPr>
          <w:rFonts w:hint="eastAsia"/>
          <w:lang w:eastAsia="zh-CN"/>
        </w:rPr>
        <w:t>6-5  污染物总量控制指标</w:t>
      </w:r>
      <w:bookmarkEnd w:id="146"/>
    </w:p>
    <w:tbl>
      <w:tblPr>
        <w:tblStyle w:val="23"/>
        <w:tblW w:w="9127" w:type="dxa"/>
        <w:jc w:val="center"/>
        <w:tblInd w:w="-1201"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44"/>
        <w:gridCol w:w="1871"/>
        <w:gridCol w:w="2764"/>
        <w:gridCol w:w="2948"/>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415" w:type="dxa"/>
            <w:gridSpan w:val="2"/>
            <w:tcBorders>
              <w:tl2br w:val="nil"/>
              <w:tr2bl w:val="nil"/>
            </w:tcBorders>
            <w:vAlign w:val="center"/>
          </w:tcPr>
          <w:p>
            <w:pPr>
              <w:pStyle w:val="9"/>
              <w:spacing w:line="276" w:lineRule="auto"/>
              <w:ind w:left="0"/>
              <w:jc w:val="center"/>
              <w:rPr>
                <w:rFonts w:ascii="Times New Roman" w:hAnsi="Times New Roman" w:cs="Times New Roman" w:eastAsiaTheme="minorEastAsia"/>
                <w:b/>
                <w:bCs/>
                <w:color w:val="000000" w:themeColor="text1"/>
                <w:sz w:val="21"/>
                <w:szCs w:val="21"/>
                <w14:textFill>
                  <w14:solidFill>
                    <w14:schemeClr w14:val="tx1"/>
                  </w14:solidFill>
                </w14:textFill>
              </w:rPr>
            </w:pPr>
            <w:r>
              <w:rPr>
                <w:rFonts w:ascii="Times New Roman" w:hAnsi="Times New Roman" w:cs="Times New Roman" w:eastAsiaTheme="minorEastAsia"/>
                <w:b/>
                <w:bCs/>
                <w:color w:val="000000" w:themeColor="text1"/>
                <w:sz w:val="21"/>
                <w:szCs w:val="21"/>
                <w14:textFill>
                  <w14:solidFill>
                    <w14:schemeClr w14:val="tx1"/>
                  </w14:solidFill>
                </w14:textFill>
              </w:rPr>
              <w:t>污染物</w:t>
            </w:r>
          </w:p>
        </w:tc>
        <w:tc>
          <w:tcPr>
            <w:tcW w:w="2764" w:type="dxa"/>
            <w:tcBorders>
              <w:tl2br w:val="nil"/>
              <w:tr2bl w:val="nil"/>
            </w:tcBorders>
            <w:vAlign w:val="center"/>
          </w:tcPr>
          <w:p>
            <w:pPr>
              <w:pStyle w:val="9"/>
              <w:spacing w:line="276" w:lineRule="auto"/>
              <w:ind w:left="0"/>
              <w:jc w:val="center"/>
              <w:rPr>
                <w:rFonts w:ascii="Times New Roman" w:hAnsi="Times New Roman" w:cs="Times New Roman" w:eastAsiaTheme="minorEastAsia"/>
                <w:b/>
                <w:bCs/>
                <w:color w:val="FF0000"/>
                <w:sz w:val="21"/>
                <w:szCs w:val="21"/>
              </w:rPr>
            </w:pPr>
            <w:r>
              <w:rPr>
                <w:rFonts w:hint="eastAsia" w:ascii="Times New Roman" w:hAnsi="Times New Roman" w:cs="Times New Roman" w:eastAsiaTheme="minorEastAsia"/>
                <w:b/>
                <w:bCs/>
                <w:color w:val="auto"/>
                <w:sz w:val="21"/>
                <w:szCs w:val="21"/>
                <w:lang w:val="en-US" w:eastAsia="zh-CN"/>
              </w:rPr>
              <w:t>一期</w:t>
            </w:r>
            <w:r>
              <w:rPr>
                <w:rFonts w:ascii="Times New Roman" w:hAnsi="Times New Roman" w:cs="Times New Roman" w:eastAsiaTheme="minorEastAsia"/>
                <w:b/>
                <w:bCs/>
                <w:color w:val="auto"/>
                <w:sz w:val="21"/>
                <w:szCs w:val="21"/>
              </w:rPr>
              <w:t>总量指标（t/a）</w:t>
            </w:r>
          </w:p>
        </w:tc>
        <w:tc>
          <w:tcPr>
            <w:tcW w:w="2948" w:type="dxa"/>
            <w:tcBorders>
              <w:tl2br w:val="nil"/>
              <w:tr2bl w:val="nil"/>
            </w:tcBorders>
            <w:vAlign w:val="center"/>
          </w:tcPr>
          <w:p>
            <w:pPr>
              <w:pStyle w:val="9"/>
              <w:spacing w:line="276" w:lineRule="auto"/>
              <w:ind w:left="0"/>
              <w:jc w:val="center"/>
              <w:rPr>
                <w:rFonts w:hint="eastAsia" w:ascii="Times New Roman" w:hAnsi="Times New Roman" w:cs="Times New Roman" w:eastAsiaTheme="minorEastAsia"/>
                <w:b/>
                <w:bCs/>
                <w:color w:val="auto"/>
                <w:sz w:val="21"/>
                <w:szCs w:val="21"/>
                <w:lang w:val="en-US" w:eastAsia="zh-CN"/>
              </w:rPr>
            </w:pPr>
            <w:r>
              <w:rPr>
                <w:rFonts w:hint="eastAsia" w:ascii="Times New Roman" w:hAnsi="Times New Roman" w:cs="Times New Roman" w:eastAsiaTheme="minorEastAsia"/>
                <w:b/>
                <w:bCs/>
                <w:color w:val="auto"/>
                <w:sz w:val="21"/>
                <w:szCs w:val="21"/>
                <w:lang w:val="en-US" w:eastAsia="zh-CN"/>
              </w:rPr>
              <w:t>批复</w:t>
            </w:r>
            <w:r>
              <w:rPr>
                <w:rFonts w:ascii="Times New Roman" w:hAnsi="Times New Roman" w:cs="Times New Roman" w:eastAsiaTheme="minorEastAsia"/>
                <w:b/>
                <w:bCs/>
                <w:color w:val="auto"/>
                <w:sz w:val="21"/>
                <w:szCs w:val="21"/>
              </w:rPr>
              <w:t>总量指标（t/a）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restart"/>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生产废水</w:t>
            </w: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化学需氧量</w:t>
            </w:r>
          </w:p>
        </w:tc>
        <w:tc>
          <w:tcPr>
            <w:tcW w:w="2764"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rPr>
              <w:t>0.1</w:t>
            </w:r>
            <w:r>
              <w:rPr>
                <w:rFonts w:hint="eastAsia" w:ascii="Times New Roman" w:hAnsi="Times New Roman" w:cs="Times New Roman" w:eastAsiaTheme="minorEastAsia"/>
                <w:bCs/>
                <w:color w:val="auto"/>
                <w:sz w:val="21"/>
                <w:szCs w:val="21"/>
                <w:lang w:val="en-US" w:eastAsia="zh-CN"/>
              </w:rPr>
              <w:t>02</w:t>
            </w:r>
          </w:p>
        </w:tc>
        <w:tc>
          <w:tcPr>
            <w:tcW w:w="2948" w:type="dxa"/>
            <w:tcBorders>
              <w:tl2br w:val="nil"/>
              <w:tr2bl w:val="nil"/>
            </w:tcBorders>
            <w:vAlign w:val="center"/>
          </w:tcPr>
          <w:p>
            <w:pPr>
              <w:pStyle w:val="9"/>
              <w:ind w:left="0" w:leftChars="0"/>
              <w:jc w:val="center"/>
              <w:rPr>
                <w:rFonts w:hint="default" w:ascii="Arial" w:hAnsi="Arial" w:cs="Arial"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rPr>
              <w:t>0.1</w:t>
            </w:r>
            <w:r>
              <w:rPr>
                <w:rFonts w:hint="eastAsia" w:ascii="Times New Roman" w:hAnsi="Times New Roman" w:cs="Times New Roman" w:eastAsiaTheme="minorEastAsia"/>
                <w:bCs/>
                <w:color w:val="auto"/>
                <w:sz w:val="21"/>
                <w:szCs w:val="21"/>
                <w:lang w:val="en-US" w:eastAsia="zh-CN"/>
              </w:rPr>
              <w:t>41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悬浮物</w:t>
            </w:r>
          </w:p>
        </w:tc>
        <w:tc>
          <w:tcPr>
            <w:tcW w:w="2764"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rPr>
              <w:t>0.0</w:t>
            </w:r>
            <w:r>
              <w:rPr>
                <w:rFonts w:hint="eastAsia" w:ascii="Times New Roman" w:hAnsi="Times New Roman" w:cs="Times New Roman" w:eastAsiaTheme="minorEastAsia"/>
                <w:bCs/>
                <w:color w:val="auto"/>
                <w:sz w:val="21"/>
                <w:szCs w:val="21"/>
                <w:lang w:val="en-US" w:eastAsia="zh-CN"/>
              </w:rPr>
              <w:t>68</w:t>
            </w:r>
          </w:p>
        </w:tc>
        <w:tc>
          <w:tcPr>
            <w:tcW w:w="2948" w:type="dxa"/>
            <w:tcBorders>
              <w:tl2br w:val="nil"/>
              <w:tr2bl w:val="nil"/>
            </w:tcBorders>
            <w:vAlign w:val="center"/>
          </w:tcPr>
          <w:p>
            <w:pPr>
              <w:pStyle w:val="9"/>
              <w:ind w:left="0" w:leftChars="0"/>
              <w:jc w:val="center"/>
              <w:rPr>
                <w:rFonts w:hint="default" w:ascii="Arial" w:hAnsi="Arial" w:cs="Arial" w:eastAsiaTheme="minorEastAsia"/>
                <w:bCs/>
                <w:color w:val="auto"/>
                <w:sz w:val="21"/>
                <w:szCs w:val="21"/>
                <w:lang w:val="en-US"/>
              </w:rPr>
            </w:pPr>
            <w:r>
              <w:rPr>
                <w:rFonts w:hint="eastAsia" w:ascii="Times New Roman" w:hAnsi="Times New Roman" w:cs="Times New Roman" w:eastAsiaTheme="minorEastAsia"/>
                <w:bCs/>
                <w:color w:val="auto"/>
                <w:sz w:val="21"/>
                <w:szCs w:val="21"/>
              </w:rPr>
              <w:t>0.0</w:t>
            </w:r>
            <w:r>
              <w:rPr>
                <w:rFonts w:hint="eastAsia" w:ascii="Times New Roman" w:hAnsi="Times New Roman" w:cs="Times New Roman" w:eastAsiaTheme="minorEastAsia"/>
                <w:bCs/>
                <w:color w:val="auto"/>
                <w:sz w:val="21"/>
                <w:szCs w:val="21"/>
                <w:lang w:val="en-US" w:eastAsia="zh-CN"/>
              </w:rPr>
              <w:t>94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33" w:hRule="atLeast"/>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pPr>
            <w: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t>石油类</w:t>
            </w:r>
          </w:p>
        </w:tc>
        <w:tc>
          <w:tcPr>
            <w:tcW w:w="2764" w:type="dxa"/>
            <w:tcBorders>
              <w:tl2br w:val="nil"/>
              <w:tr2bl w:val="nil"/>
            </w:tcBorders>
            <w:vAlign w:val="center"/>
          </w:tcPr>
          <w:p>
            <w:pPr>
              <w:pStyle w:val="9"/>
              <w:ind w:left="0"/>
              <w:jc w:val="center"/>
              <w:rPr>
                <w:rFonts w:hint="eastAsia" w:ascii="Arial" w:hAnsi="Arial" w:cs="Arial"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0</w:t>
            </w: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4</w:t>
            </w:r>
          </w:p>
        </w:tc>
        <w:tc>
          <w:tcPr>
            <w:tcW w:w="2948" w:type="dxa"/>
            <w:tcBorders>
              <w:tl2br w:val="nil"/>
              <w:tr2bl w:val="nil"/>
            </w:tcBorders>
            <w:vAlign w:val="center"/>
          </w:tcPr>
          <w:p>
            <w:pPr>
              <w:pStyle w:val="9"/>
              <w:ind w:left="0" w:leftChars="0"/>
              <w:jc w:val="center"/>
              <w:rPr>
                <w:rFonts w:hint="default" w:ascii="Arial" w:hAnsi="Arial" w:cs="Arial" w:eastAsiaTheme="minorEastAsia"/>
                <w:bCs/>
                <w:color w:val="auto"/>
                <w:sz w:val="21"/>
                <w:szCs w:val="21"/>
                <w:lang w:val="en-US"/>
              </w:rPr>
            </w:pP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006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33" w:hRule="atLeast"/>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hint="default" w:ascii="Times New Roman" w:hAnsi="Times New Roman" w:cs="Times New Roman" w:eastAsiaTheme="minorEastAsia"/>
                <w:bCs/>
                <w:color w:val="000000" w:themeColor="text1"/>
                <w:sz w:val="21"/>
                <w:szCs w:val="21"/>
                <w:lang w:val="en-US" w:eastAsia="zh-CN"/>
                <w14:textFill>
                  <w14:solidFill>
                    <w14:schemeClr w14:val="tx1"/>
                  </w14:solidFill>
                </w14:textFill>
              </w:rPr>
            </w:pPr>
            <w: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t>LAS</w:t>
            </w:r>
          </w:p>
        </w:tc>
        <w:tc>
          <w:tcPr>
            <w:tcW w:w="2764" w:type="dxa"/>
            <w:tcBorders>
              <w:tl2br w:val="nil"/>
              <w:tr2bl w:val="nil"/>
            </w:tcBorders>
            <w:vAlign w:val="center"/>
          </w:tcPr>
          <w:p>
            <w:pPr>
              <w:pStyle w:val="9"/>
              <w:ind w:left="0"/>
              <w:jc w:val="center"/>
              <w:rPr>
                <w:rFonts w:hint="eastAsia" w:ascii="Arial" w:hAnsi="Arial" w:cs="Arial" w:eastAsiaTheme="minorEastAsia"/>
                <w:bCs/>
                <w:color w:val="auto"/>
                <w:sz w:val="21"/>
                <w:szCs w:val="21"/>
                <w:lang w:val="en-US" w:eastAsia="zh-CN"/>
              </w:rPr>
            </w:pPr>
            <w:r>
              <w:rPr>
                <w:rFonts w:hint="eastAsia" w:ascii="Arial" w:hAnsi="Arial" w:cs="Arial" w:eastAsiaTheme="minorEastAsia"/>
                <w:bCs/>
                <w:color w:val="auto"/>
                <w:sz w:val="21"/>
                <w:szCs w:val="21"/>
                <w:lang w:val="en-US" w:eastAsia="zh-CN"/>
              </w:rPr>
              <w:t>/</w:t>
            </w:r>
          </w:p>
        </w:tc>
        <w:tc>
          <w:tcPr>
            <w:tcW w:w="2948" w:type="dxa"/>
            <w:tcBorders>
              <w:tl2br w:val="nil"/>
              <w:tr2bl w:val="nil"/>
            </w:tcBorders>
            <w:vAlign w:val="center"/>
          </w:tcPr>
          <w:p>
            <w:pPr>
              <w:pStyle w:val="9"/>
              <w:ind w:left="0"/>
              <w:jc w:val="center"/>
              <w:rPr>
                <w:rFonts w:ascii="Arial" w:hAnsi="Arial" w:cs="Arial" w:eastAsiaTheme="minorEastAsia"/>
                <w:bCs/>
                <w:color w:val="auto"/>
                <w:sz w:val="21"/>
                <w:szCs w:val="21"/>
              </w:rPr>
            </w:pP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0</w:t>
            </w: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restart"/>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生活污水</w:t>
            </w: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化学需氧量</w:t>
            </w:r>
          </w:p>
        </w:tc>
        <w:tc>
          <w:tcPr>
            <w:tcW w:w="2764"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0.144</w:t>
            </w:r>
          </w:p>
        </w:tc>
        <w:tc>
          <w:tcPr>
            <w:tcW w:w="2948" w:type="dxa"/>
            <w:tcBorders>
              <w:tl2br w:val="nil"/>
              <w:tr2bl w:val="nil"/>
            </w:tcBorders>
            <w:vAlign w:val="center"/>
          </w:tcPr>
          <w:p>
            <w:pPr>
              <w:pStyle w:val="9"/>
              <w:ind w:left="0" w:leftChars="0"/>
              <w:jc w:val="center"/>
              <w:rPr>
                <w:rFonts w:ascii="Arial" w:hAnsi="Arial" w:cs="Arial" w:eastAsiaTheme="minorEastAsia"/>
                <w:bCs/>
                <w:color w:val="auto"/>
                <w:sz w:val="21"/>
                <w:szCs w:val="21"/>
              </w:rPr>
            </w:pPr>
            <w:r>
              <w:rPr>
                <w:rFonts w:hint="eastAsia" w:ascii="Times New Roman" w:hAnsi="Times New Roman" w:cs="Times New Roman" w:eastAsiaTheme="minorEastAsia"/>
                <w:bCs/>
                <w:color w:val="auto"/>
                <w:sz w:val="21"/>
                <w:szCs w:val="21"/>
                <w:lang w:val="en-US" w:eastAsia="zh-CN"/>
              </w:rPr>
              <w:t>0.144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悬浮物</w:t>
            </w:r>
          </w:p>
        </w:tc>
        <w:tc>
          <w:tcPr>
            <w:tcW w:w="2764"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0.029</w:t>
            </w:r>
          </w:p>
        </w:tc>
        <w:tc>
          <w:tcPr>
            <w:tcW w:w="2948" w:type="dxa"/>
            <w:tcBorders>
              <w:tl2br w:val="nil"/>
              <w:tr2bl w:val="nil"/>
            </w:tcBorders>
            <w:vAlign w:val="center"/>
          </w:tcPr>
          <w:p>
            <w:pPr>
              <w:pStyle w:val="9"/>
              <w:ind w:left="0" w:leftChars="0"/>
              <w:jc w:val="center"/>
              <w:rPr>
                <w:rFonts w:ascii="Arial" w:hAnsi="Arial" w:cs="Arial" w:eastAsiaTheme="minorEastAsia"/>
                <w:bCs/>
                <w:color w:val="auto"/>
                <w:sz w:val="21"/>
                <w:szCs w:val="21"/>
              </w:rPr>
            </w:pPr>
            <w:r>
              <w:rPr>
                <w:rFonts w:hint="eastAsia" w:ascii="Times New Roman" w:hAnsi="Times New Roman" w:cs="Times New Roman" w:eastAsiaTheme="minorEastAsia"/>
                <w:bCs/>
                <w:color w:val="auto"/>
                <w:sz w:val="21"/>
                <w:szCs w:val="21"/>
              </w:rPr>
              <w:t>0.029</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氨氮</w:t>
            </w:r>
          </w:p>
        </w:tc>
        <w:tc>
          <w:tcPr>
            <w:tcW w:w="2764"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0.014</w:t>
            </w:r>
          </w:p>
        </w:tc>
        <w:tc>
          <w:tcPr>
            <w:tcW w:w="2948" w:type="dxa"/>
            <w:tcBorders>
              <w:tl2br w:val="nil"/>
              <w:tr2bl w:val="nil"/>
            </w:tcBorders>
            <w:vAlign w:val="center"/>
          </w:tcPr>
          <w:p>
            <w:pPr>
              <w:pStyle w:val="9"/>
              <w:ind w:left="0" w:leftChars="0"/>
              <w:jc w:val="center"/>
              <w:rPr>
                <w:rFonts w:ascii="Arial" w:hAnsi="Arial" w:cs="Arial" w:eastAsiaTheme="minorEastAsia"/>
                <w:bCs/>
                <w:color w:val="auto"/>
                <w:sz w:val="21"/>
                <w:szCs w:val="21"/>
              </w:rPr>
            </w:pPr>
            <w:r>
              <w:rPr>
                <w:rFonts w:hint="eastAsia" w:ascii="Times New Roman" w:hAnsi="Times New Roman" w:cs="Times New Roman" w:eastAsiaTheme="minorEastAsia"/>
                <w:bCs/>
                <w:color w:val="auto"/>
                <w:sz w:val="21"/>
                <w:szCs w:val="21"/>
              </w:rPr>
              <w:t>0.014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总磷</w:t>
            </w:r>
          </w:p>
        </w:tc>
        <w:tc>
          <w:tcPr>
            <w:tcW w:w="2764"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0.001</w:t>
            </w:r>
          </w:p>
        </w:tc>
        <w:tc>
          <w:tcPr>
            <w:tcW w:w="2948" w:type="dxa"/>
            <w:tcBorders>
              <w:tl2br w:val="nil"/>
              <w:tr2bl w:val="nil"/>
            </w:tcBorders>
            <w:vAlign w:val="center"/>
          </w:tcPr>
          <w:p>
            <w:pPr>
              <w:pStyle w:val="9"/>
              <w:ind w:left="0" w:leftChars="0"/>
              <w:jc w:val="center"/>
              <w:rPr>
                <w:rFonts w:ascii="Arial" w:hAnsi="Arial" w:cs="Arial" w:eastAsiaTheme="minorEastAsia"/>
                <w:bCs/>
                <w:color w:val="auto"/>
                <w:sz w:val="21"/>
                <w:szCs w:val="21"/>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0.001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动植物油</w:t>
            </w:r>
          </w:p>
        </w:tc>
        <w:tc>
          <w:tcPr>
            <w:tcW w:w="2764"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0.003</w:t>
            </w:r>
          </w:p>
        </w:tc>
        <w:tc>
          <w:tcPr>
            <w:tcW w:w="2948" w:type="dxa"/>
            <w:tcBorders>
              <w:tl2br w:val="nil"/>
              <w:tr2bl w:val="nil"/>
            </w:tcBorders>
            <w:vAlign w:val="center"/>
          </w:tcPr>
          <w:p>
            <w:pPr>
              <w:pStyle w:val="9"/>
              <w:ind w:left="0" w:leftChars="0"/>
              <w:jc w:val="center"/>
              <w:rPr>
                <w:rFonts w:ascii="Arial" w:hAnsi="Arial" w:cs="Arial" w:eastAsiaTheme="minorEastAsia"/>
                <w:bCs/>
                <w:color w:val="auto"/>
                <w:sz w:val="21"/>
                <w:szCs w:val="21"/>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0.003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restart"/>
            <w:tcBorders>
              <w:tl2br w:val="nil"/>
              <w:tr2bl w:val="nil"/>
            </w:tcBorders>
            <w:vAlign w:val="center"/>
          </w:tcPr>
          <w:p>
            <w:pPr>
              <w:pStyle w:val="9"/>
              <w:spacing w:line="276" w:lineRule="auto"/>
              <w:ind w:left="0"/>
              <w:jc w:val="cente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pPr>
            <w: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t>废气</w:t>
            </w:r>
          </w:p>
        </w:tc>
        <w:tc>
          <w:tcPr>
            <w:tcW w:w="1871" w:type="dxa"/>
            <w:tcBorders>
              <w:tl2br w:val="nil"/>
              <w:tr2bl w:val="nil"/>
            </w:tcBorders>
            <w:vAlign w:val="center"/>
          </w:tcPr>
          <w:p>
            <w:pPr>
              <w:pStyle w:val="9"/>
              <w:spacing w:line="276" w:lineRule="auto"/>
              <w:ind w:left="0"/>
              <w:jc w:val="cente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pPr>
            <w:r>
              <w:rPr>
                <w:rFonts w:hint="eastAsia" w:ascii="Times New Roman" w:hAnsi="Times New Roman" w:cs="Times New Roman" w:eastAsiaTheme="minorEastAsia"/>
                <w:bCs/>
                <w:color w:val="000000" w:themeColor="text1"/>
                <w:sz w:val="21"/>
                <w:szCs w:val="21"/>
                <w:lang w:val="en-US" w:eastAsia="zh-CN"/>
                <w14:textFill>
                  <w14:solidFill>
                    <w14:schemeClr w14:val="tx1"/>
                  </w14:solidFill>
                </w14:textFill>
              </w:rPr>
              <w:t>硫酸雾</w:t>
            </w:r>
          </w:p>
        </w:tc>
        <w:tc>
          <w:tcPr>
            <w:tcW w:w="2764" w:type="dxa"/>
            <w:tcBorders>
              <w:tl2br w:val="nil"/>
              <w:tr2bl w:val="nil"/>
            </w:tcBorders>
            <w:vAlign w:val="center"/>
          </w:tcPr>
          <w:p>
            <w:pPr>
              <w:pStyle w:val="9"/>
              <w:ind w:left="0"/>
              <w:jc w:val="center"/>
              <w:rPr>
                <w:rFonts w:hint="eastAsia" w:ascii="Arial" w:hAnsi="Arial" w:cs="Arial" w:eastAsiaTheme="minorEastAsia"/>
                <w:bCs/>
                <w:color w:val="auto"/>
                <w:sz w:val="21"/>
                <w:szCs w:val="21"/>
                <w:lang w:val="en-US" w:eastAsia="zh-CN"/>
              </w:rPr>
            </w:pPr>
            <w:r>
              <w:rPr>
                <w:rFonts w:hint="eastAsia" w:ascii="Arial" w:hAnsi="Arial" w:cs="Arial" w:eastAsiaTheme="minorEastAsia"/>
                <w:bCs/>
                <w:color w:val="auto"/>
                <w:sz w:val="21"/>
                <w:szCs w:val="21"/>
                <w:lang w:val="en-US" w:eastAsia="zh-CN"/>
              </w:rPr>
              <w:t>/</w:t>
            </w:r>
          </w:p>
        </w:tc>
        <w:tc>
          <w:tcPr>
            <w:tcW w:w="2948" w:type="dxa"/>
            <w:tcBorders>
              <w:tl2br w:val="nil"/>
              <w:tr2bl w:val="nil"/>
            </w:tcBorders>
            <w:vAlign w:val="center"/>
          </w:tcPr>
          <w:p>
            <w:pPr>
              <w:pStyle w:val="9"/>
              <w:ind w:left="0" w:leftChars="0"/>
              <w:jc w:val="center"/>
              <w:rPr>
                <w:rFonts w:hint="eastAsia" w:ascii="Arial" w:hAnsi="Arial" w:cs="Arial" w:eastAsiaTheme="minorEastAsia"/>
                <w:bCs/>
                <w:color w:val="auto"/>
                <w:sz w:val="21"/>
                <w:szCs w:val="21"/>
                <w:lang w:val="en-US" w:eastAsia="zh-CN"/>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0.0</w:t>
            </w:r>
            <w:r>
              <w:rPr>
                <w:rFonts w:hint="eastAsia" w:ascii="Times New Roman" w:hAnsi="Times New Roman" w:cs="Times New Roman" w:eastAsiaTheme="minorEastAsia"/>
                <w:bCs/>
                <w:color w:val="auto"/>
                <w:sz w:val="21"/>
                <w:szCs w:val="21"/>
                <w:lang w:val="en-US" w:eastAsia="zh-CN"/>
              </w:rPr>
              <w:t>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4"/>
                <w:szCs w:val="24"/>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二氧化硫</w:t>
            </w:r>
          </w:p>
        </w:tc>
        <w:tc>
          <w:tcPr>
            <w:tcW w:w="2764" w:type="dxa"/>
            <w:tcBorders>
              <w:tl2br w:val="nil"/>
              <w:tr2bl w:val="nil"/>
            </w:tcBorders>
            <w:vAlign w:val="center"/>
          </w:tcPr>
          <w:p>
            <w:pPr>
              <w:pStyle w:val="9"/>
              <w:ind w:left="0"/>
              <w:jc w:val="center"/>
              <w:rPr>
                <w:rFonts w:hint="eastAsia" w:ascii="Times New Roman" w:hAnsi="Times New Roman" w:cs="Times New Roman" w:eastAsiaTheme="minorEastAsia"/>
                <w:bCs/>
                <w:color w:val="auto"/>
                <w:sz w:val="21"/>
                <w:szCs w:val="21"/>
                <w:lang w:eastAsia="zh-CN"/>
              </w:rPr>
            </w:pPr>
            <w:r>
              <w:rPr>
                <w:rFonts w:hint="eastAsia" w:ascii="Times New Roman" w:hAnsi="Times New Roman" w:cs="Times New Roman" w:eastAsiaTheme="minorEastAsia"/>
                <w:bCs/>
                <w:color w:val="auto"/>
                <w:sz w:val="21"/>
                <w:szCs w:val="21"/>
              </w:rPr>
              <w:t>0.01</w:t>
            </w:r>
            <w:r>
              <w:rPr>
                <w:rFonts w:hint="eastAsia" w:ascii="Times New Roman" w:hAnsi="Times New Roman" w:cs="Times New Roman" w:eastAsiaTheme="minorEastAsia"/>
                <w:bCs/>
                <w:color w:val="auto"/>
                <w:sz w:val="21"/>
                <w:szCs w:val="21"/>
                <w:lang w:val="en-US" w:eastAsia="zh-CN"/>
              </w:rPr>
              <w:t>6</w:t>
            </w:r>
          </w:p>
        </w:tc>
        <w:tc>
          <w:tcPr>
            <w:tcW w:w="2948" w:type="dxa"/>
            <w:tcBorders>
              <w:tl2br w:val="nil"/>
              <w:tr2bl w:val="nil"/>
            </w:tcBorders>
            <w:vAlign w:val="center"/>
          </w:tcPr>
          <w:p>
            <w:pPr>
              <w:pStyle w:val="9"/>
              <w:ind w:left="0" w:leftChars="0"/>
              <w:jc w:val="center"/>
              <w:rPr>
                <w:rFonts w:ascii="Arial" w:hAnsi="Arial" w:cs="Arial" w:eastAsiaTheme="minorEastAsia"/>
                <w:bCs/>
                <w:color w:val="FF0000"/>
                <w:sz w:val="21"/>
                <w:szCs w:val="21"/>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0.018</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4"/>
                <w:szCs w:val="24"/>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氮氧化物</w:t>
            </w:r>
          </w:p>
        </w:tc>
        <w:tc>
          <w:tcPr>
            <w:tcW w:w="2764"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096</w:t>
            </w:r>
          </w:p>
        </w:tc>
        <w:tc>
          <w:tcPr>
            <w:tcW w:w="2948" w:type="dxa"/>
            <w:tcBorders>
              <w:tl2br w:val="nil"/>
              <w:tr2bl w:val="nil"/>
            </w:tcBorders>
            <w:vAlign w:val="center"/>
          </w:tcPr>
          <w:p>
            <w:pPr>
              <w:pStyle w:val="9"/>
              <w:ind w:left="0" w:leftChars="0"/>
              <w:jc w:val="center"/>
              <w:rPr>
                <w:rFonts w:ascii="Arial" w:hAnsi="Arial" w:cs="Arial" w:eastAsiaTheme="minorEastAsia"/>
                <w:bCs/>
                <w:color w:val="FF0000"/>
                <w:sz w:val="21"/>
                <w:szCs w:val="21"/>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0.113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4"/>
                <w:szCs w:val="24"/>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颗粒物</w:t>
            </w:r>
          </w:p>
        </w:tc>
        <w:tc>
          <w:tcPr>
            <w:tcW w:w="2764" w:type="dxa"/>
            <w:tcBorders>
              <w:tl2br w:val="nil"/>
              <w:tr2bl w:val="nil"/>
            </w:tcBorders>
            <w:vAlign w:val="center"/>
          </w:tcPr>
          <w:p>
            <w:pPr>
              <w:pStyle w:val="9"/>
              <w:ind w:left="0"/>
              <w:jc w:val="center"/>
              <w:rPr>
                <w:rFonts w:hint="eastAsia" w:ascii="Times New Roman" w:hAnsi="Times New Roman" w:cs="Times New Roman" w:eastAsiaTheme="minorEastAsia"/>
                <w:bCs/>
                <w:color w:val="auto"/>
                <w:sz w:val="21"/>
                <w:szCs w:val="21"/>
                <w:lang w:eastAsia="zh-CN"/>
              </w:rPr>
            </w:pPr>
            <w:r>
              <w:rPr>
                <w:rFonts w:hint="eastAsia" w:ascii="Times New Roman" w:hAnsi="Times New Roman" w:cs="Times New Roman" w:eastAsiaTheme="minorEastAsia"/>
                <w:bCs/>
                <w:color w:val="auto"/>
                <w:sz w:val="21"/>
                <w:szCs w:val="21"/>
              </w:rPr>
              <w:t>0.29</w:t>
            </w:r>
            <w:r>
              <w:rPr>
                <w:rFonts w:hint="eastAsia" w:ascii="Times New Roman" w:hAnsi="Times New Roman" w:cs="Times New Roman" w:eastAsiaTheme="minorEastAsia"/>
                <w:bCs/>
                <w:color w:val="auto"/>
                <w:sz w:val="21"/>
                <w:szCs w:val="21"/>
                <w:lang w:val="en-US" w:eastAsia="zh-CN"/>
              </w:rPr>
              <w:t>2</w:t>
            </w:r>
          </w:p>
        </w:tc>
        <w:tc>
          <w:tcPr>
            <w:tcW w:w="2948" w:type="dxa"/>
            <w:tcBorders>
              <w:tl2br w:val="nil"/>
              <w:tr2bl w:val="nil"/>
            </w:tcBorders>
            <w:vAlign w:val="center"/>
          </w:tcPr>
          <w:p>
            <w:pPr>
              <w:pStyle w:val="9"/>
              <w:ind w:left="0" w:leftChars="0"/>
              <w:jc w:val="center"/>
              <w:rPr>
                <w:rFonts w:hint="default" w:ascii="Arial" w:hAnsi="Arial" w:cs="Arial" w:eastAsiaTheme="minorEastAsia"/>
                <w:bCs/>
                <w:color w:val="FF0000"/>
                <w:sz w:val="21"/>
                <w:szCs w:val="21"/>
                <w:lang w:val="en-US" w:eastAsia="zh-CN"/>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0.</w:t>
            </w:r>
            <w:r>
              <w:rPr>
                <w:rFonts w:hint="eastAsia" w:ascii="Times New Roman" w:hAnsi="Times New Roman" w:cs="Times New Roman" w:eastAsiaTheme="minorEastAsia"/>
                <w:bCs/>
                <w:color w:val="auto"/>
                <w:sz w:val="21"/>
                <w:szCs w:val="21"/>
                <w:lang w:val="en-US" w:eastAsia="zh-CN"/>
              </w:rPr>
              <w:t>299</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44" w:type="dxa"/>
            <w:vMerge w:val="continue"/>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4"/>
                <w:szCs w:val="24"/>
                <w14:textFill>
                  <w14:solidFill>
                    <w14:schemeClr w14:val="tx1"/>
                  </w14:solidFill>
                </w14:textFill>
              </w:rPr>
            </w:pPr>
          </w:p>
        </w:tc>
        <w:tc>
          <w:tcPr>
            <w:tcW w:w="1871" w:type="dxa"/>
            <w:tcBorders>
              <w:tl2br w:val="nil"/>
              <w:tr2bl w:val="nil"/>
            </w:tcBorders>
            <w:vAlign w:val="center"/>
          </w:tcPr>
          <w:p>
            <w:pPr>
              <w:pStyle w:val="9"/>
              <w:spacing w:line="276" w:lineRule="auto"/>
              <w:ind w:left="0"/>
              <w:jc w:val="center"/>
              <w:rPr>
                <w:rFonts w:ascii="Times New Roman" w:hAnsi="Times New Roman" w:cs="Times New Roman" w:eastAsiaTheme="minorEastAsia"/>
                <w:bCs/>
                <w:color w:val="000000" w:themeColor="text1"/>
                <w:sz w:val="21"/>
                <w:szCs w:val="21"/>
                <w14:textFill>
                  <w14:solidFill>
                    <w14:schemeClr w14:val="tx1"/>
                  </w14:solidFill>
                </w14:textFill>
              </w:rPr>
            </w:pPr>
            <w:r>
              <w:rPr>
                <w:rFonts w:hint="eastAsia" w:ascii="Times New Roman" w:hAnsi="Times New Roman" w:cs="Times New Roman" w:eastAsiaTheme="minorEastAsia"/>
                <w:bCs/>
                <w:color w:val="000000" w:themeColor="text1"/>
                <w:sz w:val="21"/>
                <w:szCs w:val="21"/>
                <w14:textFill>
                  <w14:solidFill>
                    <w14:schemeClr w14:val="tx1"/>
                  </w14:solidFill>
                </w14:textFill>
              </w:rPr>
              <w:t>VOCs</w:t>
            </w:r>
          </w:p>
        </w:tc>
        <w:tc>
          <w:tcPr>
            <w:tcW w:w="2764"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1.298</w:t>
            </w:r>
          </w:p>
        </w:tc>
        <w:tc>
          <w:tcPr>
            <w:tcW w:w="2948" w:type="dxa"/>
            <w:tcBorders>
              <w:tl2br w:val="nil"/>
              <w:tr2bl w:val="nil"/>
            </w:tcBorders>
            <w:vAlign w:val="center"/>
          </w:tcPr>
          <w:p>
            <w:pPr>
              <w:pStyle w:val="9"/>
              <w:ind w:left="0" w:leftChars="0"/>
              <w:jc w:val="center"/>
              <w:rPr>
                <w:rFonts w:ascii="Arial" w:hAnsi="Arial" w:cs="Arial" w:eastAsiaTheme="minorEastAsia"/>
                <w:bCs/>
                <w:color w:val="FF0000"/>
                <w:sz w:val="21"/>
                <w:szCs w:val="21"/>
              </w:rPr>
            </w:pPr>
            <w:r>
              <w:rPr>
                <w:rFonts w:ascii="Arial" w:hAnsi="Arial" w:cs="Arial" w:eastAsiaTheme="minorEastAsia"/>
                <w:bCs/>
                <w:color w:val="auto"/>
                <w:sz w:val="21"/>
                <w:szCs w:val="21"/>
              </w:rPr>
              <w:t>≤</w:t>
            </w:r>
            <w:r>
              <w:rPr>
                <w:rFonts w:hint="eastAsia" w:ascii="Times New Roman" w:hAnsi="Times New Roman" w:cs="Times New Roman" w:eastAsiaTheme="minorEastAsia"/>
                <w:bCs/>
                <w:color w:val="auto"/>
                <w:sz w:val="21"/>
                <w:szCs w:val="21"/>
              </w:rPr>
              <w:t>1.298</w:t>
            </w:r>
          </w:p>
        </w:tc>
      </w:tr>
    </w:tbl>
    <w:p>
      <w:pPr>
        <w:keepNext/>
        <w:keepLines/>
        <w:pageBreakBefore w:val="0"/>
        <w:widowControl w:val="0"/>
        <w:kinsoku/>
        <w:wordWrap/>
        <w:overflowPunct/>
        <w:topLinePunct w:val="0"/>
        <w:autoSpaceDE/>
        <w:autoSpaceDN/>
        <w:bidi w:val="0"/>
        <w:adjustRightInd w:val="0"/>
        <w:snapToGrid/>
        <w:textAlignment w:val="baseline"/>
        <w:outlineLvl w:val="9"/>
        <w:rPr>
          <w:bCs/>
          <w:color w:val="000000"/>
          <w:sz w:val="28"/>
        </w:rPr>
        <w:sectPr>
          <w:pgSz w:w="11906" w:h="16838"/>
          <w:pgMar w:top="1361" w:right="1474" w:bottom="1361" w:left="1474" w:header="851" w:footer="992" w:gutter="0"/>
          <w:cols w:space="720" w:num="1"/>
          <w:docGrid w:type="lines" w:linePitch="312" w:charSpace="0"/>
        </w:sectPr>
      </w:pPr>
      <w:bookmarkStart w:id="147" w:name="_Toc11675"/>
      <w:bookmarkStart w:id="148" w:name="_Toc499296969"/>
      <w:bookmarkStart w:id="149" w:name="_Toc15522"/>
      <w:bookmarkStart w:id="150" w:name="_Toc11914"/>
      <w:bookmarkStart w:id="151" w:name="_Toc3912"/>
      <w:bookmarkStart w:id="152" w:name="_Toc31380"/>
      <w:bookmarkStart w:id="153" w:name="_Toc8662_WPSOffice_Level3"/>
    </w:p>
    <w:p>
      <w:pPr>
        <w:pStyle w:val="3"/>
        <w:adjustRightInd w:val="0"/>
        <w:textAlignment w:val="baseline"/>
        <w:rPr>
          <w:bCs/>
          <w:color w:val="000000"/>
          <w:sz w:val="28"/>
        </w:rPr>
      </w:pPr>
      <w:bookmarkStart w:id="154" w:name="_Toc20304"/>
      <w:r>
        <w:rPr>
          <w:bCs/>
          <w:color w:val="000000"/>
          <w:sz w:val="28"/>
        </w:rPr>
        <w:t>7</w:t>
      </w:r>
      <w:r>
        <w:rPr>
          <w:rFonts w:hint="eastAsia"/>
          <w:bCs/>
          <w:color w:val="000000"/>
          <w:sz w:val="28"/>
        </w:rPr>
        <w:t>.</w:t>
      </w:r>
      <w:r>
        <w:rPr>
          <w:bCs/>
          <w:color w:val="000000"/>
          <w:sz w:val="28"/>
        </w:rPr>
        <w:t>验收监测内容</w:t>
      </w:r>
      <w:bookmarkEnd w:id="147"/>
      <w:bookmarkEnd w:id="148"/>
      <w:bookmarkEnd w:id="149"/>
      <w:bookmarkEnd w:id="150"/>
      <w:bookmarkEnd w:id="151"/>
      <w:bookmarkEnd w:id="154"/>
    </w:p>
    <w:bookmarkEnd w:id="152"/>
    <w:bookmarkEnd w:id="153"/>
    <w:p>
      <w:pPr>
        <w:pStyle w:val="4"/>
        <w:adjustRightInd w:val="0"/>
        <w:textAlignment w:val="baseline"/>
        <w:rPr>
          <w:rFonts w:ascii="Times New Roman"/>
          <w:sz w:val="24"/>
          <w:szCs w:val="24"/>
        </w:rPr>
      </w:pPr>
      <w:bookmarkStart w:id="155" w:name="_Toc7490"/>
      <w:bookmarkStart w:id="156" w:name="_Toc499296970"/>
      <w:bookmarkStart w:id="157" w:name="_Toc24391"/>
      <w:bookmarkStart w:id="158" w:name="_Toc8941"/>
      <w:bookmarkStart w:id="159" w:name="_Toc28719"/>
      <w:bookmarkStart w:id="160" w:name="_Toc10948"/>
      <w:r>
        <w:rPr>
          <w:rFonts w:ascii="Times New Roman"/>
          <w:sz w:val="24"/>
          <w:szCs w:val="24"/>
        </w:rPr>
        <w:t>7.1废水</w:t>
      </w:r>
      <w:bookmarkEnd w:id="155"/>
      <w:bookmarkEnd w:id="156"/>
      <w:bookmarkEnd w:id="157"/>
      <w:bookmarkEnd w:id="158"/>
      <w:bookmarkEnd w:id="159"/>
      <w:bookmarkEnd w:id="160"/>
    </w:p>
    <w:p>
      <w:pPr>
        <w:pStyle w:val="7"/>
        <w:bidi w:val="0"/>
      </w:pPr>
      <w:r>
        <w:t>表</w:t>
      </w:r>
      <w:r>
        <w:rPr>
          <w:rFonts w:hint="eastAsia"/>
          <w:lang w:eastAsia="zh-CN"/>
        </w:rPr>
        <w:t>7-1  废水监测内容及频次</w:t>
      </w:r>
    </w:p>
    <w:tbl>
      <w:tblPr>
        <w:tblStyle w:val="23"/>
        <w:tblW w:w="9174" w:type="dxa"/>
        <w:jc w:val="center"/>
        <w:tblInd w:w="0" w:type="dxa"/>
        <w:tblBorders>
          <w:top w:val="single" w:color="000000" w:sz="18" w:space="0"/>
          <w:left w:val="none" w:color="auto" w:sz="0" w:space="0"/>
          <w:bottom w:val="single" w:color="000000" w:sz="18"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
      <w:tblGrid>
        <w:gridCol w:w="1231"/>
        <w:gridCol w:w="1955"/>
        <w:gridCol w:w="1195"/>
        <w:gridCol w:w="3320"/>
        <w:gridCol w:w="1473"/>
      </w:tblGrid>
      <w:tr>
        <w:tblPrEx>
          <w:tblBorders>
            <w:top w:val="single" w:color="000000" w:sz="18" w:space="0"/>
            <w:left w:val="none" w:color="auto" w:sz="0" w:space="0"/>
            <w:bottom w:val="single" w:color="000000" w:sz="18"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Ex>
        <w:trPr>
          <w:trHeight w:val="105" w:hRule="atLeast"/>
          <w:jc w:val="center"/>
        </w:trPr>
        <w:tc>
          <w:tcPr>
            <w:tcW w:w="1231" w:type="dxa"/>
            <w:tcBorders>
              <w:tl2br w:val="nil"/>
              <w:tr2bl w:val="nil"/>
            </w:tcBorders>
            <w:vAlign w:val="center"/>
          </w:tcPr>
          <w:p>
            <w:pPr>
              <w:spacing w:line="360" w:lineRule="auto"/>
              <w:jc w:val="center"/>
              <w:rPr>
                <w:rFonts w:ascii="Times New Roman" w:hAnsi="Times New Roman" w:cs="Times New Roman"/>
                <w:b/>
                <w:szCs w:val="21"/>
              </w:rPr>
            </w:pPr>
            <w:r>
              <w:rPr>
                <w:rFonts w:ascii="Times New Roman" w:hAnsi="Times New Roman" w:cs="Times New Roman"/>
                <w:b/>
                <w:szCs w:val="21"/>
              </w:rPr>
              <w:t>类别</w:t>
            </w:r>
          </w:p>
        </w:tc>
        <w:tc>
          <w:tcPr>
            <w:tcW w:w="1955" w:type="dxa"/>
            <w:tcBorders>
              <w:tl2br w:val="nil"/>
              <w:tr2bl w:val="nil"/>
            </w:tcBorders>
            <w:vAlign w:val="center"/>
          </w:tcPr>
          <w:p>
            <w:pPr>
              <w:spacing w:line="360" w:lineRule="auto"/>
              <w:jc w:val="center"/>
              <w:rPr>
                <w:rFonts w:ascii="Times New Roman" w:hAnsi="Times New Roman" w:cs="Times New Roman"/>
                <w:b/>
                <w:szCs w:val="21"/>
              </w:rPr>
            </w:pPr>
            <w:r>
              <w:rPr>
                <w:rFonts w:ascii="Times New Roman" w:hAnsi="Times New Roman" w:cs="Times New Roman"/>
                <w:b/>
                <w:szCs w:val="21"/>
              </w:rPr>
              <w:t>点位名称</w:t>
            </w:r>
          </w:p>
        </w:tc>
        <w:tc>
          <w:tcPr>
            <w:tcW w:w="1195" w:type="dxa"/>
            <w:tcBorders>
              <w:tl2br w:val="nil"/>
              <w:tr2bl w:val="nil"/>
            </w:tcBorders>
            <w:vAlign w:val="center"/>
          </w:tcPr>
          <w:p>
            <w:pPr>
              <w:spacing w:line="360" w:lineRule="auto"/>
              <w:jc w:val="center"/>
              <w:rPr>
                <w:rFonts w:ascii="Times New Roman" w:hAnsi="Times New Roman" w:cs="Times New Roman"/>
                <w:b/>
                <w:szCs w:val="21"/>
              </w:rPr>
            </w:pPr>
            <w:r>
              <w:rPr>
                <w:rFonts w:ascii="Times New Roman" w:hAnsi="Times New Roman" w:cs="Times New Roman"/>
                <w:b/>
                <w:szCs w:val="21"/>
              </w:rPr>
              <w:t>编号</w:t>
            </w:r>
          </w:p>
        </w:tc>
        <w:tc>
          <w:tcPr>
            <w:tcW w:w="3320" w:type="dxa"/>
            <w:tcBorders>
              <w:tl2br w:val="nil"/>
              <w:tr2bl w:val="nil"/>
            </w:tcBorders>
            <w:vAlign w:val="center"/>
          </w:tcPr>
          <w:p>
            <w:pPr>
              <w:spacing w:line="360" w:lineRule="auto"/>
              <w:jc w:val="center"/>
              <w:rPr>
                <w:rFonts w:ascii="Times New Roman" w:hAnsi="Times New Roman" w:cs="Times New Roman"/>
                <w:b/>
                <w:szCs w:val="21"/>
              </w:rPr>
            </w:pPr>
            <w:r>
              <w:rPr>
                <w:rFonts w:ascii="Times New Roman" w:hAnsi="Times New Roman" w:cs="Times New Roman"/>
                <w:b/>
                <w:szCs w:val="21"/>
              </w:rPr>
              <w:t>监测因子</w:t>
            </w:r>
          </w:p>
        </w:tc>
        <w:tc>
          <w:tcPr>
            <w:tcW w:w="1473" w:type="dxa"/>
            <w:tcBorders>
              <w:tl2br w:val="nil"/>
              <w:tr2bl w:val="nil"/>
            </w:tcBorders>
            <w:vAlign w:val="center"/>
          </w:tcPr>
          <w:p>
            <w:pPr>
              <w:spacing w:line="360" w:lineRule="auto"/>
              <w:jc w:val="center"/>
              <w:rPr>
                <w:rFonts w:ascii="Times New Roman" w:hAnsi="Times New Roman" w:cs="Times New Roman"/>
                <w:b/>
                <w:szCs w:val="21"/>
              </w:rPr>
            </w:pPr>
            <w:r>
              <w:rPr>
                <w:rFonts w:ascii="Times New Roman" w:hAnsi="Times New Roman" w:cs="Times New Roman"/>
                <w:b/>
                <w:szCs w:val="21"/>
              </w:rPr>
              <w:t>监测频次</w:t>
            </w:r>
          </w:p>
        </w:tc>
      </w:tr>
      <w:tr>
        <w:tblPrEx>
          <w:tblBorders>
            <w:top w:val="single" w:color="000000" w:sz="18" w:space="0"/>
            <w:left w:val="none" w:color="auto" w:sz="0" w:space="0"/>
            <w:bottom w:val="single" w:color="000000" w:sz="18"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Ex>
        <w:trPr>
          <w:trHeight w:val="624" w:hRule="atLeast"/>
          <w:jc w:val="center"/>
        </w:trPr>
        <w:tc>
          <w:tcPr>
            <w:tcW w:w="1231"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生产废水</w:t>
            </w:r>
          </w:p>
        </w:tc>
        <w:tc>
          <w:tcPr>
            <w:tcW w:w="1955" w:type="dxa"/>
            <w:tcBorders>
              <w:tl2br w:val="nil"/>
              <w:tr2bl w:val="nil"/>
            </w:tcBorders>
            <w:vAlign w:val="center"/>
          </w:tcPr>
          <w:p>
            <w:pPr>
              <w:pStyle w:val="11"/>
              <w:spacing w:before="50" w:after="50"/>
              <w:ind w:left="0" w:firstLine="0"/>
              <w:jc w:val="center"/>
              <w:rPr>
                <w:rFonts w:ascii="Times New Roman" w:hAnsi="Times New Roman" w:cs="Times New Roman"/>
                <w:szCs w:val="21"/>
              </w:rPr>
            </w:pPr>
            <w:r>
              <w:rPr>
                <w:rFonts w:ascii="Times New Roman" w:hAnsi="Times New Roman" w:cs="Times New Roman"/>
                <w:szCs w:val="21"/>
              </w:rPr>
              <w:t>污水处理站进口</w:t>
            </w:r>
          </w:p>
        </w:tc>
        <w:tc>
          <w:tcPr>
            <w:tcW w:w="119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W1</w:t>
            </w:r>
          </w:p>
        </w:tc>
        <w:tc>
          <w:tcPr>
            <w:tcW w:w="3320" w:type="dxa"/>
            <w:vMerge w:val="restart"/>
            <w:tcBorders>
              <w:tl2br w:val="nil"/>
              <w:tr2bl w:val="nil"/>
            </w:tcBorders>
            <w:vAlign w:val="center"/>
          </w:tcPr>
          <w:p>
            <w:pPr>
              <w:pStyle w:val="11"/>
              <w:spacing w:before="50" w:after="50"/>
              <w:ind w:left="0" w:firstLine="0"/>
              <w:rPr>
                <w:rFonts w:ascii="Times New Roman" w:hAnsi="Times New Roman" w:cs="Times New Roman"/>
                <w:szCs w:val="21"/>
              </w:rPr>
            </w:pPr>
            <w:r>
              <w:rPr>
                <w:rFonts w:ascii="Times New Roman" w:hAnsi="Times New Roman" w:cs="Times New Roman"/>
                <w:szCs w:val="21"/>
              </w:rPr>
              <w:t>pH值、化学需氧量、悬浮物、石油类</w:t>
            </w:r>
          </w:p>
        </w:tc>
        <w:tc>
          <w:tcPr>
            <w:tcW w:w="1473" w:type="dxa"/>
            <w:vMerge w:val="restart"/>
            <w:tcBorders>
              <w:tl2br w:val="nil"/>
              <w:tr2bl w:val="nil"/>
            </w:tcBorders>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2天</w:t>
            </w:r>
          </w:p>
          <w:p>
            <w:pPr>
              <w:jc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4次每天</w:t>
            </w:r>
          </w:p>
        </w:tc>
      </w:tr>
      <w:tr>
        <w:tblPrEx>
          <w:tblBorders>
            <w:top w:val="single" w:color="000000" w:sz="18" w:space="0"/>
            <w:left w:val="none" w:color="auto" w:sz="0" w:space="0"/>
            <w:bottom w:val="single" w:color="000000" w:sz="18"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Ex>
        <w:trPr>
          <w:trHeight w:val="624" w:hRule="atLeast"/>
          <w:jc w:val="center"/>
        </w:trPr>
        <w:tc>
          <w:tcPr>
            <w:tcW w:w="1231" w:type="dxa"/>
            <w:vMerge w:val="continue"/>
            <w:tcBorders>
              <w:tl2br w:val="nil"/>
              <w:tr2bl w:val="nil"/>
            </w:tcBorders>
            <w:vAlign w:val="center"/>
          </w:tcPr>
          <w:p>
            <w:pPr>
              <w:jc w:val="center"/>
              <w:rPr>
                <w:rFonts w:ascii="Times New Roman" w:hAnsi="Times New Roman" w:cs="Times New Roman"/>
                <w:szCs w:val="21"/>
              </w:rPr>
            </w:pPr>
          </w:p>
        </w:tc>
        <w:tc>
          <w:tcPr>
            <w:tcW w:w="1955" w:type="dxa"/>
            <w:tcBorders>
              <w:tl2br w:val="nil"/>
              <w:tr2bl w:val="nil"/>
            </w:tcBorders>
            <w:vAlign w:val="center"/>
          </w:tcPr>
          <w:p>
            <w:pPr>
              <w:pStyle w:val="11"/>
              <w:spacing w:before="50" w:after="50"/>
              <w:ind w:left="0" w:firstLine="0"/>
              <w:jc w:val="center"/>
              <w:rPr>
                <w:rFonts w:ascii="Times New Roman" w:hAnsi="Times New Roman" w:cs="Times New Roman"/>
                <w:szCs w:val="21"/>
              </w:rPr>
            </w:pPr>
            <w:r>
              <w:rPr>
                <w:rFonts w:ascii="Times New Roman" w:hAnsi="Times New Roman" w:cs="Times New Roman"/>
                <w:szCs w:val="21"/>
              </w:rPr>
              <w:t>污水处理站出口</w:t>
            </w:r>
          </w:p>
        </w:tc>
        <w:tc>
          <w:tcPr>
            <w:tcW w:w="119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W2</w:t>
            </w:r>
          </w:p>
        </w:tc>
        <w:tc>
          <w:tcPr>
            <w:tcW w:w="3320" w:type="dxa"/>
            <w:vMerge w:val="continue"/>
            <w:tcBorders>
              <w:tl2br w:val="nil"/>
              <w:tr2bl w:val="nil"/>
            </w:tcBorders>
            <w:vAlign w:val="center"/>
          </w:tcPr>
          <w:p>
            <w:pPr>
              <w:jc w:val="center"/>
              <w:rPr>
                <w:rFonts w:ascii="Times New Roman" w:hAnsi="Times New Roman" w:cs="Times New Roman"/>
                <w:szCs w:val="21"/>
              </w:rPr>
            </w:pPr>
          </w:p>
        </w:tc>
        <w:tc>
          <w:tcPr>
            <w:tcW w:w="1473"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000000" w:sz="18" w:space="0"/>
            <w:left w:val="none" w:color="auto" w:sz="0" w:space="0"/>
            <w:bottom w:val="single" w:color="000000" w:sz="18"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Ex>
        <w:trPr>
          <w:trHeight w:val="624" w:hRule="atLeast"/>
          <w:jc w:val="center"/>
        </w:trPr>
        <w:tc>
          <w:tcPr>
            <w:tcW w:w="12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生活污水</w:t>
            </w:r>
          </w:p>
        </w:tc>
        <w:tc>
          <w:tcPr>
            <w:tcW w:w="195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生活污水排口</w:t>
            </w:r>
          </w:p>
        </w:tc>
        <w:tc>
          <w:tcPr>
            <w:tcW w:w="119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W3</w:t>
            </w:r>
          </w:p>
        </w:tc>
        <w:tc>
          <w:tcPr>
            <w:tcW w:w="3320" w:type="dxa"/>
            <w:tcBorders>
              <w:tl2br w:val="nil"/>
              <w:tr2bl w:val="nil"/>
            </w:tcBorders>
            <w:vAlign w:val="center"/>
          </w:tcPr>
          <w:p>
            <w:pPr>
              <w:jc w:val="both"/>
              <w:rPr>
                <w:rFonts w:ascii="Times New Roman" w:hAnsi="Times New Roman" w:cs="Times New Roman"/>
                <w:szCs w:val="21"/>
              </w:rPr>
            </w:pPr>
            <w:r>
              <w:rPr>
                <w:rFonts w:ascii="Times New Roman" w:hAnsi="Times New Roman" w:cs="Times New Roman"/>
                <w:szCs w:val="21"/>
              </w:rPr>
              <w:t>pH值、化学需氧量、悬浮物、</w:t>
            </w:r>
            <w:r>
              <w:rPr>
                <w:rFonts w:hint="eastAsia" w:ascii="Times New Roman" w:hAnsi="Times New Roman" w:cs="Times New Roman"/>
                <w:szCs w:val="21"/>
              </w:rPr>
              <w:t>氨氮、总磷、动植物油</w:t>
            </w:r>
          </w:p>
        </w:tc>
        <w:tc>
          <w:tcPr>
            <w:tcW w:w="1473" w:type="dxa"/>
            <w:tcBorders>
              <w:tl2br w:val="nil"/>
              <w:tr2bl w:val="nil"/>
            </w:tcBorders>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2天</w:t>
            </w:r>
          </w:p>
          <w:p>
            <w:pPr>
              <w:jc w:val="center"/>
              <w:rPr>
                <w:rFonts w:ascii="Times New Roman" w:hAnsi="Times New Roman" w:cs="Times New Roman"/>
                <w:szCs w:val="21"/>
              </w:rPr>
            </w:pPr>
            <w:r>
              <w:rPr>
                <w:rFonts w:hint="eastAsia" w:ascii="Times New Roman" w:hAnsi="Times New Roman" w:cs="Times New Roman"/>
                <w:color w:val="auto"/>
                <w:szCs w:val="21"/>
                <w:lang w:val="en-US" w:eastAsia="zh-CN"/>
              </w:rPr>
              <w:t>4次每天</w:t>
            </w:r>
          </w:p>
        </w:tc>
      </w:tr>
    </w:tbl>
    <w:p>
      <w:pPr>
        <w:pStyle w:val="4"/>
        <w:adjustRightInd w:val="0"/>
        <w:spacing w:line="360" w:lineRule="auto"/>
        <w:textAlignment w:val="baseline"/>
        <w:rPr>
          <w:rFonts w:ascii="Times New Roman" w:hAnsi="Times New Roman" w:cs="Times New Roman"/>
          <w:sz w:val="24"/>
          <w:szCs w:val="24"/>
        </w:rPr>
      </w:pPr>
      <w:bookmarkStart w:id="161" w:name="_Toc499296971"/>
      <w:bookmarkStart w:id="162" w:name="_Toc30097"/>
      <w:bookmarkStart w:id="163" w:name="_Toc6969"/>
      <w:bookmarkStart w:id="164" w:name="_Toc1462"/>
      <w:bookmarkStart w:id="165" w:name="_Toc10804"/>
      <w:bookmarkStart w:id="166" w:name="_Toc21801"/>
      <w:bookmarkStart w:id="167" w:name="_Toc27768_WPSOffice_Level2"/>
      <w:bookmarkStart w:id="168" w:name="_Toc31803"/>
      <w:r>
        <w:rPr>
          <w:rFonts w:ascii="Times New Roman"/>
          <w:sz w:val="24"/>
          <w:szCs w:val="24"/>
        </w:rPr>
        <w:t>7.2废气</w:t>
      </w:r>
      <w:bookmarkEnd w:id="161"/>
      <w:bookmarkEnd w:id="162"/>
      <w:bookmarkEnd w:id="163"/>
      <w:bookmarkEnd w:id="164"/>
      <w:bookmarkEnd w:id="165"/>
      <w:bookmarkEnd w:id="166"/>
    </w:p>
    <w:p>
      <w:pPr>
        <w:pStyle w:val="7"/>
        <w:bidi w:val="0"/>
      </w:pPr>
      <w:r>
        <w:t>表</w:t>
      </w:r>
      <w:r>
        <w:rPr>
          <w:rFonts w:hint="eastAsia"/>
          <w:lang w:eastAsia="zh-CN"/>
        </w:rPr>
        <w:t>7-2  废气监测内容及频次</w:t>
      </w:r>
    </w:p>
    <w:tbl>
      <w:tblPr>
        <w:tblStyle w:val="23"/>
        <w:tblW w:w="9174"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68"/>
        <w:gridCol w:w="2163"/>
        <w:gridCol w:w="1425"/>
        <w:gridCol w:w="2762"/>
        <w:gridCol w:w="1356"/>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19" w:hRule="atLeast"/>
          <w:jc w:val="center"/>
        </w:trPr>
        <w:tc>
          <w:tcPr>
            <w:tcW w:w="1468"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类别</w:t>
            </w:r>
          </w:p>
        </w:tc>
        <w:tc>
          <w:tcPr>
            <w:tcW w:w="2163"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点位名称</w:t>
            </w:r>
          </w:p>
        </w:tc>
        <w:tc>
          <w:tcPr>
            <w:tcW w:w="1425"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cs="Times New Roman"/>
                <w:b/>
                <w:szCs w:val="21"/>
              </w:rPr>
              <w:t>排气筒</w:t>
            </w:r>
            <w:r>
              <w:rPr>
                <w:rFonts w:ascii="Times New Roman" w:hAnsi="Times New Roman" w:eastAsia="宋体" w:cs="Times New Roman"/>
                <w:b/>
                <w:szCs w:val="21"/>
              </w:rPr>
              <w:t>编号</w:t>
            </w:r>
          </w:p>
        </w:tc>
        <w:tc>
          <w:tcPr>
            <w:tcW w:w="2762"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监测因子</w:t>
            </w:r>
          </w:p>
        </w:tc>
        <w:tc>
          <w:tcPr>
            <w:tcW w:w="1356"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监测频次</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243" w:hRule="atLeast"/>
          <w:jc w:val="center"/>
        </w:trPr>
        <w:tc>
          <w:tcPr>
            <w:tcW w:w="1468"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有组织废气</w:t>
            </w:r>
          </w:p>
        </w:tc>
        <w:tc>
          <w:tcPr>
            <w:tcW w:w="2163" w:type="dxa"/>
            <w:tcBorders>
              <w:tl2br w:val="nil"/>
              <w:tr2bl w:val="nil"/>
            </w:tcBorders>
            <w:vAlign w:val="center"/>
          </w:tcPr>
          <w:p>
            <w:pPr>
              <w:pStyle w:val="11"/>
              <w:ind w:left="0" w:firstLine="0"/>
              <w:jc w:val="center"/>
              <w:rPr>
                <w:rFonts w:ascii="Times New Roman" w:hAnsi="Times New Roman" w:eastAsia="宋体" w:cs="Times New Roman"/>
                <w:szCs w:val="21"/>
              </w:rPr>
            </w:pPr>
            <w:r>
              <w:rPr>
                <w:rFonts w:ascii="Times New Roman" w:hAnsi="Times New Roman" w:eastAsia="宋体" w:cs="Times New Roman"/>
                <w:szCs w:val="21"/>
              </w:rPr>
              <w:t>调喷漆废气排气筒</w:t>
            </w:r>
          </w:p>
        </w:tc>
        <w:tc>
          <w:tcPr>
            <w:tcW w:w="1425"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rPr>
              <w:t>1</w:t>
            </w:r>
            <w:r>
              <w:rPr>
                <w:rFonts w:ascii="Times New Roman" w:hAnsi="Times New Roman" w:cs="Times New Roman"/>
                <w:szCs w:val="21"/>
              </w:rPr>
              <w:t>#</w:t>
            </w:r>
            <w:r>
              <w:rPr>
                <w:rFonts w:hint="eastAsia" w:ascii="Times New Roman" w:hAnsi="Times New Roman" w:cs="Times New Roman"/>
                <w:szCs w:val="21"/>
                <w:lang w:val="en-US" w:eastAsia="zh-CN"/>
              </w:rPr>
              <w:t>排气筒</w:t>
            </w:r>
          </w:p>
        </w:tc>
        <w:tc>
          <w:tcPr>
            <w:tcW w:w="2762"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挥发性有机物、乙酸丁酯、丁醇</w:t>
            </w:r>
            <w:r>
              <w:rPr>
                <w:rFonts w:hint="eastAsia" w:ascii="Times New Roman" w:hAnsi="Times New Roman" w:eastAsia="宋体" w:cs="Times New Roman"/>
                <w:szCs w:val="21"/>
              </w:rPr>
              <w:t>、颗粒物</w:t>
            </w:r>
          </w:p>
        </w:tc>
        <w:tc>
          <w:tcPr>
            <w:tcW w:w="1356" w:type="dxa"/>
            <w:vMerge w:val="restart"/>
            <w:tcBorders>
              <w:tl2br w:val="nil"/>
              <w:tr2bl w:val="nil"/>
            </w:tcBorders>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2天</w:t>
            </w:r>
          </w:p>
          <w:p>
            <w:pPr>
              <w:jc w:val="center"/>
              <w:rPr>
                <w:rFonts w:ascii="Times New Roman" w:hAnsi="Times New Roman" w:eastAsia="宋体" w:cs="Times New Roman"/>
                <w:szCs w:val="21"/>
              </w:rPr>
            </w:pPr>
            <w:r>
              <w:rPr>
                <w:rFonts w:hint="eastAsia" w:ascii="Times New Roman" w:hAnsi="Times New Roman" w:cs="Times New Roman"/>
                <w:color w:val="auto"/>
                <w:szCs w:val="21"/>
                <w:lang w:val="en-US" w:eastAsia="zh-CN"/>
              </w:rPr>
              <w:t>3次每天</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243" w:hRule="atLeast"/>
          <w:jc w:val="center"/>
        </w:trPr>
        <w:tc>
          <w:tcPr>
            <w:tcW w:w="1468" w:type="dxa"/>
            <w:vMerge w:val="continue"/>
            <w:tcBorders>
              <w:tl2br w:val="nil"/>
              <w:tr2bl w:val="nil"/>
            </w:tcBorders>
            <w:vAlign w:val="center"/>
          </w:tcPr>
          <w:p>
            <w:pPr>
              <w:jc w:val="center"/>
              <w:rPr>
                <w:rFonts w:ascii="Times New Roman" w:hAnsi="Times New Roman" w:eastAsia="宋体" w:cs="Times New Roman"/>
                <w:szCs w:val="21"/>
              </w:rPr>
            </w:pPr>
          </w:p>
        </w:tc>
        <w:tc>
          <w:tcPr>
            <w:tcW w:w="2163" w:type="dxa"/>
            <w:tcBorders>
              <w:tl2br w:val="nil"/>
              <w:tr2bl w:val="nil"/>
            </w:tcBorders>
            <w:vAlign w:val="center"/>
          </w:tcPr>
          <w:p>
            <w:pPr>
              <w:pStyle w:val="11"/>
              <w:ind w:left="0" w:firstLine="0"/>
              <w:jc w:val="center"/>
              <w:rPr>
                <w:rFonts w:ascii="Times New Roman" w:hAnsi="Times New Roman" w:eastAsia="宋体" w:cs="Times New Roman"/>
                <w:szCs w:val="21"/>
              </w:rPr>
            </w:pPr>
            <w:r>
              <w:rPr>
                <w:rFonts w:ascii="Times New Roman" w:hAnsi="Times New Roman" w:eastAsia="宋体" w:cs="Times New Roman"/>
                <w:szCs w:val="21"/>
              </w:rPr>
              <w:t>烘干废气排气筒</w:t>
            </w:r>
          </w:p>
        </w:tc>
        <w:tc>
          <w:tcPr>
            <w:tcW w:w="1425"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rPr>
              <w:t>2</w:t>
            </w:r>
            <w:r>
              <w:rPr>
                <w:rFonts w:ascii="Times New Roman" w:hAnsi="Times New Roman" w:cs="Times New Roman"/>
                <w:szCs w:val="21"/>
              </w:rPr>
              <w:t>#</w:t>
            </w:r>
            <w:r>
              <w:rPr>
                <w:rFonts w:hint="eastAsia" w:ascii="Times New Roman" w:hAnsi="Times New Roman" w:cs="Times New Roman"/>
                <w:szCs w:val="21"/>
                <w:lang w:val="en-US" w:eastAsia="zh-CN"/>
              </w:rPr>
              <w:t>排气筒</w:t>
            </w:r>
          </w:p>
        </w:tc>
        <w:tc>
          <w:tcPr>
            <w:tcW w:w="2762"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挥发性有机物、乙酸丁酯、丁醇</w:t>
            </w:r>
            <w:r>
              <w:rPr>
                <w:rFonts w:hint="eastAsia" w:ascii="Times New Roman" w:hAnsi="Times New Roman" w:eastAsia="宋体" w:cs="Times New Roman"/>
                <w:szCs w:val="21"/>
              </w:rPr>
              <w:t>、颗粒物、二氧化硫、氮氧化物</w:t>
            </w:r>
          </w:p>
        </w:tc>
        <w:tc>
          <w:tcPr>
            <w:tcW w:w="1356" w:type="dxa"/>
            <w:vMerge w:val="continue"/>
            <w:tcBorders>
              <w:tl2br w:val="nil"/>
              <w:tr2bl w:val="nil"/>
            </w:tcBorders>
            <w:vAlign w:val="center"/>
          </w:tcPr>
          <w:p>
            <w:pPr>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45" w:hRule="atLeast"/>
          <w:jc w:val="center"/>
        </w:trPr>
        <w:tc>
          <w:tcPr>
            <w:tcW w:w="1468"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无组织废气</w:t>
            </w:r>
          </w:p>
        </w:tc>
        <w:tc>
          <w:tcPr>
            <w:tcW w:w="2163"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上风向1个</w:t>
            </w:r>
            <w:r>
              <w:rPr>
                <w:rFonts w:ascii="Times New Roman" w:hAnsi="Times New Roman" w:cs="Times New Roman"/>
                <w:szCs w:val="21"/>
              </w:rPr>
              <w:t>参照</w:t>
            </w:r>
            <w:r>
              <w:rPr>
                <w:rFonts w:ascii="Times New Roman" w:hAnsi="Times New Roman" w:eastAsia="宋体" w:cs="Times New Roman"/>
                <w:szCs w:val="21"/>
              </w:rPr>
              <w:t>点，下风向3个监测点</w:t>
            </w:r>
          </w:p>
        </w:tc>
        <w:tc>
          <w:tcPr>
            <w:tcW w:w="1425"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G1-G4</w:t>
            </w:r>
          </w:p>
        </w:tc>
        <w:tc>
          <w:tcPr>
            <w:tcW w:w="2762"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颗粒物、挥发性有机物、乙酸丁酯、丁醇</w:t>
            </w:r>
          </w:p>
        </w:tc>
        <w:tc>
          <w:tcPr>
            <w:tcW w:w="1356" w:type="dxa"/>
            <w:tcBorders>
              <w:tl2br w:val="nil"/>
              <w:tr2bl w:val="nil"/>
            </w:tcBorders>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2天</w:t>
            </w:r>
          </w:p>
          <w:p>
            <w:pPr>
              <w:jc w:val="center"/>
              <w:rPr>
                <w:rFonts w:hint="default"/>
                <w:lang w:val="en-US" w:eastAsia="zh-CN"/>
              </w:rPr>
            </w:pPr>
            <w:r>
              <w:rPr>
                <w:rFonts w:hint="eastAsia" w:ascii="Times New Roman" w:hAnsi="Times New Roman" w:cs="Times New Roman"/>
                <w:color w:val="auto"/>
                <w:szCs w:val="21"/>
                <w:lang w:val="en-US" w:eastAsia="zh-CN"/>
              </w:rPr>
              <w:t>4次每天</w:t>
            </w:r>
          </w:p>
        </w:tc>
      </w:tr>
    </w:tbl>
    <w:p>
      <w:pPr>
        <w:pStyle w:val="4"/>
        <w:adjustRightInd w:val="0"/>
        <w:spacing w:line="360" w:lineRule="auto"/>
        <w:textAlignment w:val="baseline"/>
        <w:rPr>
          <w:rFonts w:ascii="Times New Roman"/>
          <w:sz w:val="24"/>
          <w:szCs w:val="24"/>
        </w:rPr>
      </w:pPr>
      <w:bookmarkStart w:id="169" w:name="_Toc26221"/>
      <w:bookmarkStart w:id="170" w:name="_Toc12865"/>
      <w:bookmarkStart w:id="171" w:name="_Toc11258"/>
      <w:r>
        <w:rPr>
          <w:rFonts w:ascii="Times New Roman"/>
          <w:sz w:val="24"/>
          <w:szCs w:val="24"/>
        </w:rPr>
        <w:t>7.3噪声</w:t>
      </w:r>
      <w:bookmarkEnd w:id="169"/>
      <w:bookmarkEnd w:id="170"/>
      <w:bookmarkEnd w:id="171"/>
    </w:p>
    <w:p>
      <w:pPr>
        <w:pStyle w:val="7"/>
        <w:spacing w:line="360" w:lineRule="auto"/>
        <w:ind w:firstLine="422" w:firstLineChars="200"/>
        <w:jc w:val="center"/>
        <w:rPr>
          <w:rFonts w:ascii="Times New Roman" w:hAnsi="Times New Roman" w:cs="Times New Roman"/>
          <w:b/>
          <w:szCs w:val="21"/>
        </w:rPr>
      </w:pPr>
      <w:r>
        <w:t>表</w:t>
      </w:r>
      <w:r>
        <w:rPr>
          <w:rFonts w:hint="eastAsia"/>
          <w:lang w:eastAsia="zh-CN"/>
        </w:rPr>
        <w:t>7-3  噪声监测内容及频次</w:t>
      </w:r>
    </w:p>
    <w:tbl>
      <w:tblPr>
        <w:tblStyle w:val="23"/>
        <w:tblW w:w="9174"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30"/>
        <w:gridCol w:w="1984"/>
        <w:gridCol w:w="1817"/>
        <w:gridCol w:w="2943"/>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574" w:hRule="exact"/>
          <w:jc w:val="center"/>
        </w:trPr>
        <w:tc>
          <w:tcPr>
            <w:tcW w:w="2430" w:type="dxa"/>
            <w:tcBorders>
              <w:tl2br w:val="nil"/>
              <w:tr2bl w:val="nil"/>
            </w:tcBorders>
            <w:vAlign w:val="center"/>
          </w:tcPr>
          <w:p>
            <w:pPr>
              <w:widowControl/>
              <w:jc w:val="center"/>
              <w:rPr>
                <w:rFonts w:ascii="Times New Roman" w:hAnsi="Times New Roman" w:cs="Times New Roman"/>
                <w:b/>
                <w:szCs w:val="21"/>
              </w:rPr>
            </w:pPr>
            <w:r>
              <w:rPr>
                <w:rFonts w:ascii="Times New Roman" w:hAnsi="Times New Roman" w:cs="Times New Roman"/>
                <w:b/>
                <w:szCs w:val="21"/>
              </w:rPr>
              <w:t>监测点位</w:t>
            </w:r>
          </w:p>
        </w:tc>
        <w:tc>
          <w:tcPr>
            <w:tcW w:w="1984" w:type="dxa"/>
            <w:tcBorders>
              <w:tl2br w:val="nil"/>
              <w:tr2bl w:val="nil"/>
            </w:tcBorders>
            <w:vAlign w:val="center"/>
          </w:tcPr>
          <w:p>
            <w:pPr>
              <w:widowControl/>
              <w:jc w:val="center"/>
              <w:rPr>
                <w:rFonts w:ascii="Times New Roman" w:hAnsi="Times New Roman" w:cs="Times New Roman"/>
                <w:b/>
                <w:szCs w:val="21"/>
              </w:rPr>
            </w:pPr>
            <w:r>
              <w:rPr>
                <w:rFonts w:ascii="Times New Roman" w:hAnsi="Times New Roman" w:cs="Times New Roman"/>
                <w:b/>
                <w:szCs w:val="21"/>
              </w:rPr>
              <w:t>监测编号</w:t>
            </w:r>
          </w:p>
        </w:tc>
        <w:tc>
          <w:tcPr>
            <w:tcW w:w="1817" w:type="dxa"/>
            <w:tcBorders>
              <w:tl2br w:val="nil"/>
              <w:tr2bl w:val="nil"/>
            </w:tcBorders>
            <w:vAlign w:val="center"/>
          </w:tcPr>
          <w:p>
            <w:pPr>
              <w:widowControl/>
              <w:jc w:val="center"/>
              <w:rPr>
                <w:rFonts w:ascii="Times New Roman" w:hAnsi="Times New Roman" w:cs="Times New Roman"/>
                <w:b/>
                <w:szCs w:val="21"/>
              </w:rPr>
            </w:pPr>
            <w:r>
              <w:rPr>
                <w:rFonts w:ascii="Times New Roman" w:hAnsi="Times New Roman" w:cs="Times New Roman"/>
                <w:b/>
                <w:szCs w:val="21"/>
              </w:rPr>
              <w:t>监测内容</w:t>
            </w:r>
          </w:p>
        </w:tc>
        <w:tc>
          <w:tcPr>
            <w:tcW w:w="2943" w:type="dxa"/>
            <w:tcBorders>
              <w:tl2br w:val="nil"/>
              <w:tr2bl w:val="nil"/>
            </w:tcBorders>
            <w:vAlign w:val="center"/>
          </w:tcPr>
          <w:p>
            <w:pPr>
              <w:widowControl/>
              <w:jc w:val="center"/>
              <w:rPr>
                <w:rFonts w:ascii="Times New Roman" w:hAnsi="Times New Roman" w:cs="Times New Roman"/>
                <w:b/>
                <w:szCs w:val="21"/>
              </w:rPr>
            </w:pPr>
            <w:r>
              <w:rPr>
                <w:rFonts w:ascii="Times New Roman" w:hAnsi="Times New Roman" w:cs="Times New Roman"/>
                <w:b/>
                <w:szCs w:val="21"/>
              </w:rPr>
              <w:t>监测频次</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614" w:hRule="exact"/>
          <w:jc w:val="center"/>
        </w:trPr>
        <w:tc>
          <w:tcPr>
            <w:tcW w:w="2430"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厂界四周</w:t>
            </w:r>
          </w:p>
        </w:tc>
        <w:tc>
          <w:tcPr>
            <w:tcW w:w="1984" w:type="dxa"/>
            <w:tcBorders>
              <w:tl2br w:val="nil"/>
              <w:tr2bl w:val="nil"/>
            </w:tcBorders>
            <w:vAlign w:val="center"/>
          </w:tcPr>
          <w:p>
            <w:pPr>
              <w:widowControl/>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N</w:t>
            </w:r>
            <w:r>
              <w:rPr>
                <w:rFonts w:ascii="Times New Roman" w:hAnsi="Times New Roman" w:cs="Times New Roman"/>
                <w:szCs w:val="21"/>
              </w:rPr>
              <w:t>1~</w:t>
            </w:r>
            <w:r>
              <w:rPr>
                <w:rFonts w:hint="eastAsia" w:ascii="Times New Roman" w:hAnsi="Times New Roman" w:cs="Times New Roman"/>
                <w:szCs w:val="21"/>
                <w:lang w:val="en-US" w:eastAsia="zh-CN"/>
              </w:rPr>
              <w:t>N4</w:t>
            </w:r>
          </w:p>
        </w:tc>
        <w:tc>
          <w:tcPr>
            <w:tcW w:w="1817"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等效声级</w:t>
            </w:r>
          </w:p>
        </w:tc>
        <w:tc>
          <w:tcPr>
            <w:tcW w:w="2943"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连续2天，昼间、夜间各1次</w:t>
            </w:r>
          </w:p>
        </w:tc>
      </w:tr>
    </w:tbl>
    <w:p>
      <w:pPr>
        <w:rPr>
          <w:rFonts w:ascii="Times New Roman" w:hAnsi="Times New Roman" w:cs="Times New Roman"/>
          <w:b/>
          <w:szCs w:val="21"/>
        </w:rPr>
      </w:pPr>
    </w:p>
    <w:bookmarkEnd w:id="167"/>
    <w:p>
      <w:pPr>
        <w:keepNext/>
        <w:keepLines/>
        <w:pageBreakBefore w:val="0"/>
        <w:widowControl w:val="0"/>
        <w:kinsoku/>
        <w:wordWrap/>
        <w:overflowPunct/>
        <w:topLinePunct w:val="0"/>
        <w:autoSpaceDE/>
        <w:autoSpaceDN/>
        <w:bidi w:val="0"/>
        <w:adjustRightInd/>
        <w:snapToGrid/>
        <w:textAlignment w:val="auto"/>
        <w:outlineLvl w:val="9"/>
        <w:rPr>
          <w:rFonts w:hint="eastAsia"/>
          <w:sz w:val="28"/>
          <w:szCs w:val="28"/>
        </w:rPr>
        <w:sectPr>
          <w:pgSz w:w="11906" w:h="16838"/>
          <w:pgMar w:top="1361" w:right="1474" w:bottom="1361" w:left="1474" w:header="851" w:footer="992" w:gutter="0"/>
          <w:cols w:space="720" w:num="1"/>
          <w:docGrid w:type="lines" w:linePitch="312" w:charSpace="0"/>
        </w:sectPr>
      </w:pPr>
      <w:bookmarkStart w:id="172" w:name="_Toc4205_WPSOffice_Level2"/>
    </w:p>
    <w:p>
      <w:pPr>
        <w:pStyle w:val="3"/>
        <w:rPr>
          <w:sz w:val="28"/>
          <w:szCs w:val="28"/>
        </w:rPr>
      </w:pPr>
      <w:bookmarkStart w:id="173" w:name="_Toc837"/>
      <w:r>
        <w:rPr>
          <w:rFonts w:hint="eastAsia"/>
          <w:sz w:val="28"/>
          <w:szCs w:val="28"/>
        </w:rPr>
        <w:t>8.质量保证及质量控制</w:t>
      </w:r>
      <w:bookmarkEnd w:id="168"/>
      <w:bookmarkEnd w:id="172"/>
      <w:bookmarkEnd w:id="173"/>
    </w:p>
    <w:p>
      <w:pPr>
        <w:pStyle w:val="4"/>
        <w:spacing w:line="360" w:lineRule="auto"/>
        <w:rPr>
          <w:rFonts w:ascii="Times New Roman" w:hAnsi="Times New Roman"/>
          <w:sz w:val="24"/>
          <w:szCs w:val="24"/>
        </w:rPr>
      </w:pPr>
      <w:bookmarkStart w:id="174" w:name="_Toc8499"/>
      <w:bookmarkStart w:id="175" w:name="_Toc12294"/>
      <w:bookmarkStart w:id="176" w:name="_Toc18317"/>
      <w:bookmarkStart w:id="177" w:name="_Toc2701_WPSOffice_Level3"/>
      <w:r>
        <w:rPr>
          <w:rFonts w:hint="eastAsia" w:ascii="Times New Roman" w:hAnsi="Times New Roman"/>
          <w:sz w:val="24"/>
          <w:szCs w:val="24"/>
        </w:rPr>
        <w:t>8.1 监测分析方法</w:t>
      </w:r>
      <w:bookmarkEnd w:id="174"/>
      <w:bookmarkEnd w:id="175"/>
      <w:bookmarkEnd w:id="176"/>
      <w:bookmarkEnd w:id="177"/>
    </w:p>
    <w:p>
      <w:pPr>
        <w:spacing w:line="360" w:lineRule="auto"/>
        <w:rPr>
          <w:rFonts w:ascii="Times New Roman" w:hAnsi="Times New Roman" w:cs="Times New Roman"/>
          <w:bCs/>
          <w:sz w:val="24"/>
        </w:rPr>
      </w:pPr>
      <w:bookmarkStart w:id="178" w:name="_Toc13590"/>
      <w:r>
        <w:rPr>
          <w:rFonts w:ascii="Times New Roman" w:hAnsi="Times New Roman" w:cs="Times New Roman"/>
          <w:bCs/>
          <w:sz w:val="24"/>
        </w:rPr>
        <w:t>本项目监测分析方法见表 8-1</w:t>
      </w:r>
      <w:r>
        <w:rPr>
          <w:rFonts w:hint="eastAsia" w:ascii="Times New Roman" w:hAnsi="Times New Roman" w:cs="Times New Roman"/>
          <w:bCs/>
          <w:sz w:val="24"/>
        </w:rPr>
        <w:t>。</w:t>
      </w:r>
    </w:p>
    <w:p>
      <w:pPr>
        <w:spacing w:line="360" w:lineRule="auto"/>
        <w:jc w:val="center"/>
        <w:rPr>
          <w:rFonts w:ascii="Times New Roman" w:hAnsi="Times New Roman" w:cs="Times New Roman"/>
          <w:b/>
          <w:szCs w:val="21"/>
        </w:rPr>
      </w:pPr>
      <w:bookmarkStart w:id="179" w:name="_Toc9026_WPSOffice_Level2"/>
    </w:p>
    <w:p>
      <w:pPr>
        <w:spacing w:line="360" w:lineRule="auto"/>
        <w:jc w:val="center"/>
        <w:rPr>
          <w:rFonts w:ascii="Times New Roman" w:hAnsi="Times New Roman" w:cs="Times New Roman"/>
          <w:b/>
          <w:szCs w:val="21"/>
        </w:rPr>
      </w:pPr>
    </w:p>
    <w:p>
      <w:pPr>
        <w:pStyle w:val="7"/>
        <w:bidi w:val="0"/>
      </w:pPr>
      <w:r>
        <w:t>表</w:t>
      </w:r>
      <w:r>
        <w:rPr>
          <w:rFonts w:hint="eastAsia"/>
          <w:lang w:eastAsia="zh-CN"/>
        </w:rPr>
        <w:t>8-1  监测分析方法</w:t>
      </w:r>
      <w:bookmarkEnd w:id="179"/>
    </w:p>
    <w:tbl>
      <w:tblPr>
        <w:tblStyle w:val="24"/>
        <w:tblW w:w="10173"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1"/>
        <w:gridCol w:w="1384"/>
        <w:gridCol w:w="6041"/>
        <w:gridCol w:w="1617"/>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blHeader/>
          <w:jc w:val="center"/>
        </w:trPr>
        <w:tc>
          <w:tcPr>
            <w:tcW w:w="1131" w:type="dxa"/>
            <w:tcBorders>
              <w:tl2br w:val="nil"/>
              <w:tr2bl w:val="nil"/>
            </w:tcBorders>
            <w:vAlign w:val="center"/>
          </w:tcPr>
          <w:p>
            <w:pPr>
              <w:tabs>
                <w:tab w:val="left" w:pos="1440"/>
                <w:tab w:val="left" w:pos="2736"/>
                <w:tab w:val="left" w:pos="2880"/>
                <w:tab w:val="left" w:pos="10944"/>
              </w:tabs>
              <w:wordWrap w:val="0"/>
              <w:autoSpaceDE w:val="0"/>
              <w:autoSpaceDN w:val="0"/>
              <w:adjustRightInd w:val="0"/>
              <w:ind w:left="-105" w:leftChars="-50" w:right="-105" w:rightChars="-50"/>
              <w:jc w:val="center"/>
              <w:textAlignment w:val="baseline"/>
              <w:rPr>
                <w:rFonts w:ascii="Times New Roman" w:hAnsi="Times New Roman" w:eastAsia="宋体" w:cs="Times New Roman"/>
                <w:szCs w:val="21"/>
              </w:rPr>
            </w:pPr>
            <w:r>
              <w:rPr>
                <w:rFonts w:ascii="Times New Roman" w:hAnsi="Times New Roman" w:eastAsia="宋体" w:cs="Times New Roman"/>
                <w:szCs w:val="21"/>
              </w:rPr>
              <w:t>检测类型</w:t>
            </w:r>
          </w:p>
        </w:tc>
        <w:tc>
          <w:tcPr>
            <w:tcW w:w="1384"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eastAsia="宋体" w:cs="Times New Roman"/>
                <w:szCs w:val="21"/>
              </w:rPr>
            </w:pPr>
            <w:r>
              <w:rPr>
                <w:rFonts w:ascii="Times New Roman" w:hAnsi="Times New Roman" w:eastAsia="宋体" w:cs="Times New Roman"/>
                <w:szCs w:val="21"/>
              </w:rPr>
              <w:t>分析项目</w:t>
            </w:r>
          </w:p>
        </w:tc>
        <w:tc>
          <w:tcPr>
            <w:tcW w:w="6041"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eastAsia="宋体" w:cs="Times New Roman"/>
                <w:szCs w:val="21"/>
              </w:rPr>
            </w:pPr>
            <w:r>
              <w:rPr>
                <w:rFonts w:ascii="Times New Roman" w:hAnsi="Times New Roman" w:eastAsia="宋体" w:cs="Times New Roman"/>
                <w:szCs w:val="21"/>
              </w:rPr>
              <w:t>分析方法</w:t>
            </w:r>
          </w:p>
        </w:tc>
        <w:tc>
          <w:tcPr>
            <w:tcW w:w="1617"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eastAsia="宋体" w:cs="Times New Roman"/>
                <w:szCs w:val="21"/>
              </w:rPr>
            </w:pPr>
            <w:r>
              <w:rPr>
                <w:rFonts w:ascii="Times New Roman" w:hAnsi="Times New Roman" w:eastAsia="宋体" w:cs="Times New Roman"/>
                <w:szCs w:val="21"/>
              </w:rPr>
              <w:t>检出限</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restart"/>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有组织</w:t>
            </w:r>
          </w:p>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废气</w:t>
            </w:r>
          </w:p>
        </w:tc>
        <w:tc>
          <w:tcPr>
            <w:tcW w:w="1384"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挥发性有机物（乙酸丁酯）</w:t>
            </w:r>
          </w:p>
        </w:tc>
        <w:tc>
          <w:tcPr>
            <w:tcW w:w="6041" w:type="dxa"/>
            <w:tcBorders>
              <w:tl2br w:val="nil"/>
              <w:tr2bl w:val="nil"/>
            </w:tcBorders>
            <w:vAlign w:val="center"/>
          </w:tcPr>
          <w:p>
            <w:pPr>
              <w:pStyle w:val="36"/>
              <w:rPr>
                <w:rFonts w:ascii="Times New Roman" w:hAnsi="Times New Roman" w:cs="Times New Roman"/>
              </w:rPr>
            </w:pPr>
            <w:r>
              <w:rPr>
                <w:rFonts w:ascii="Times New Roman" w:hAnsi="Times New Roman" w:cs="Times New Roman"/>
                <w:kern w:val="0"/>
              </w:rPr>
              <w:t>固定污染源废气 挥发性有机物的测定 固相吸附-热脱附/气相色谱-质谱法HJ734-2014</w:t>
            </w:r>
          </w:p>
        </w:tc>
        <w:tc>
          <w:tcPr>
            <w:tcW w:w="1617"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0.001~0.01</w:t>
            </w:r>
          </w:p>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p>
        </w:tc>
        <w:tc>
          <w:tcPr>
            <w:tcW w:w="1384" w:type="dxa"/>
            <w:tcBorders>
              <w:tl2br w:val="nil"/>
              <w:tr2bl w:val="nil"/>
            </w:tcBorders>
            <w:vAlign w:val="center"/>
          </w:tcPr>
          <w:p>
            <w:pPr>
              <w:pStyle w:val="21"/>
              <w:jc w:val="center"/>
              <w:rPr>
                <w:rFonts w:ascii="Times New Roman" w:hAnsi="Times New Roman" w:cs="Times New Roman"/>
                <w:color w:val="FF0000"/>
                <w:sz w:val="21"/>
                <w:szCs w:val="21"/>
              </w:rPr>
            </w:pPr>
            <w:r>
              <w:rPr>
                <w:rFonts w:ascii="Times New Roman" w:hAnsi="Times New Roman" w:cs="Times New Roman"/>
                <w:color w:val="000000"/>
                <w:sz w:val="21"/>
                <w:szCs w:val="21"/>
              </w:rPr>
              <w:t>颗粒物</w:t>
            </w:r>
          </w:p>
        </w:tc>
        <w:tc>
          <w:tcPr>
            <w:tcW w:w="6041" w:type="dxa"/>
            <w:tcBorders>
              <w:tl2br w:val="nil"/>
              <w:tr2bl w:val="nil"/>
            </w:tcBorders>
            <w:vAlign w:val="center"/>
          </w:tcPr>
          <w:p>
            <w:pPr>
              <w:pStyle w:val="21"/>
              <w:jc w:val="both"/>
              <w:rPr>
                <w:rFonts w:ascii="Times New Roman" w:hAnsi="Times New Roman" w:cs="Times New Roman"/>
                <w:color w:val="FF0000"/>
                <w:sz w:val="21"/>
                <w:szCs w:val="21"/>
              </w:rPr>
            </w:pPr>
            <w:r>
              <w:rPr>
                <w:rFonts w:ascii="Times New Roman" w:hAnsi="Times New Roman" w:cs="Times New Roman"/>
                <w:color w:val="000000"/>
                <w:sz w:val="21"/>
                <w:szCs w:val="21"/>
              </w:rPr>
              <w:t>固定污染源废气 低浓度颗粒物的测定重量法 HJ836-2017</w:t>
            </w:r>
          </w:p>
        </w:tc>
        <w:tc>
          <w:tcPr>
            <w:tcW w:w="1617" w:type="dxa"/>
            <w:tcBorders>
              <w:tl2br w:val="nil"/>
              <w:tr2bl w:val="nil"/>
            </w:tcBorders>
            <w:vAlign w:val="center"/>
          </w:tcPr>
          <w:p>
            <w:pPr>
              <w:pStyle w:val="21"/>
              <w:jc w:val="center"/>
              <w:rPr>
                <w:rFonts w:ascii="Times New Roman" w:hAnsi="Times New Roman" w:cs="Times New Roman"/>
                <w:color w:val="FF0000"/>
                <w:sz w:val="21"/>
                <w:szCs w:val="21"/>
              </w:rPr>
            </w:pPr>
            <w:r>
              <w:rPr>
                <w:rFonts w:ascii="Times New Roman" w:hAnsi="Times New Roman" w:cs="Times New Roman"/>
                <w:color w:val="000000"/>
                <w:sz w:val="21"/>
                <w:szCs w:val="21"/>
              </w:rPr>
              <w:t>1.0mg/m</w:t>
            </w:r>
            <w:r>
              <w:rPr>
                <w:rFonts w:ascii="Times New Roman" w:hAnsi="Times New Roman" w:cs="Times New Roman"/>
                <w:color w:val="000000"/>
                <w:sz w:val="21"/>
                <w:szCs w:val="21"/>
                <w:vertAlign w:val="superscript"/>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p>
        </w:tc>
        <w:tc>
          <w:tcPr>
            <w:tcW w:w="1384" w:type="dxa"/>
            <w:tcBorders>
              <w:tl2br w:val="nil"/>
              <w:tr2bl w:val="nil"/>
            </w:tcBorders>
            <w:vAlign w:val="center"/>
          </w:tcPr>
          <w:p>
            <w:pPr>
              <w:jc w:val="center"/>
              <w:rPr>
                <w:rFonts w:ascii="Times New Roman" w:hAnsi="Times New Roman" w:cs="Times New Roman"/>
                <w:color w:val="FF0000"/>
                <w:szCs w:val="21"/>
              </w:rPr>
            </w:pPr>
            <w:r>
              <w:rPr>
                <w:rFonts w:ascii="Times New Roman" w:hAnsi="Times New Roman" w:cs="Times New Roman"/>
                <w:color w:val="000000"/>
                <w:szCs w:val="21"/>
              </w:rPr>
              <w:t>颗粒物</w:t>
            </w:r>
          </w:p>
        </w:tc>
        <w:tc>
          <w:tcPr>
            <w:tcW w:w="6041" w:type="dxa"/>
            <w:tcBorders>
              <w:tl2br w:val="nil"/>
              <w:tr2bl w:val="nil"/>
            </w:tcBorders>
            <w:vAlign w:val="center"/>
          </w:tcPr>
          <w:p>
            <w:pPr>
              <w:pStyle w:val="21"/>
              <w:spacing w:beforeAutospacing="0" w:afterAutospacing="0"/>
              <w:jc w:val="both"/>
              <w:rPr>
                <w:rFonts w:ascii="Times New Roman" w:hAnsi="Times New Roman" w:cs="Times New Roman"/>
                <w:color w:val="000000"/>
                <w:sz w:val="21"/>
                <w:szCs w:val="21"/>
              </w:rPr>
            </w:pPr>
            <w:r>
              <w:rPr>
                <w:rFonts w:ascii="Times New Roman" w:hAnsi="Times New Roman" w:cs="Times New Roman"/>
                <w:color w:val="000000"/>
                <w:sz w:val="21"/>
                <w:szCs w:val="21"/>
              </w:rPr>
              <w:t>固定污染源排气中颗粒物测定与气态污染物采样方法</w:t>
            </w:r>
            <w:r>
              <w:rPr>
                <w:rFonts w:hint="eastAsia" w:ascii="Times New Roman" w:hAnsi="Times New Roman" w:cs="Times New Roman"/>
                <w:color w:val="000000"/>
                <w:sz w:val="21"/>
                <w:szCs w:val="21"/>
              </w:rPr>
              <w:t xml:space="preserve"> </w:t>
            </w:r>
            <w:r>
              <w:rPr>
                <w:rFonts w:ascii="Times New Roman" w:hAnsi="Times New Roman" w:cs="Times New Roman"/>
                <w:color w:val="000000"/>
                <w:sz w:val="21"/>
                <w:szCs w:val="21"/>
              </w:rPr>
              <w:t>GB/T 16157-1996</w:t>
            </w:r>
          </w:p>
        </w:tc>
        <w:tc>
          <w:tcPr>
            <w:tcW w:w="1617"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r>
              <w:rPr>
                <w:rFonts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p>
        </w:tc>
        <w:tc>
          <w:tcPr>
            <w:tcW w:w="138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丁醇</w:t>
            </w:r>
          </w:p>
        </w:tc>
        <w:tc>
          <w:tcPr>
            <w:tcW w:w="6041" w:type="dxa"/>
            <w:tcBorders>
              <w:tl2br w:val="nil"/>
              <w:tr2bl w:val="nil"/>
            </w:tcBorders>
            <w:vAlign w:val="center"/>
          </w:tcPr>
          <w:p>
            <w:pPr>
              <w:pStyle w:val="36"/>
              <w:rPr>
                <w:rFonts w:ascii="Times New Roman" w:hAnsi="Times New Roman" w:cs="Times New Roman"/>
                <w:kern w:val="0"/>
              </w:rPr>
            </w:pPr>
            <w:r>
              <w:rPr>
                <w:rFonts w:ascii="Times New Roman" w:hAnsi="Times New Roman" w:cs="Times New Roman"/>
                <w:kern w:val="0"/>
              </w:rPr>
              <w:t>工作场所空气有毒物质测定醇类化合物GBZ/T160.48—2007</w:t>
            </w:r>
          </w:p>
        </w:tc>
        <w:tc>
          <w:tcPr>
            <w:tcW w:w="1617"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r>
              <w:rPr>
                <w:rFonts w:ascii="Times New Roman" w:hAnsi="Times New Roman" w:cs="Times New Roman"/>
                <w:szCs w:val="21"/>
              </w:rPr>
              <w:t>0.4mg/m</w:t>
            </w:r>
            <w:r>
              <w:rPr>
                <w:rFonts w:ascii="Times New Roman" w:hAnsi="Times New Roman" w:cs="Times New Roman"/>
                <w:szCs w:val="21"/>
                <w:vertAlign w:val="superscript"/>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p>
        </w:tc>
        <w:tc>
          <w:tcPr>
            <w:tcW w:w="1384"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二氧化硫</w:t>
            </w:r>
          </w:p>
        </w:tc>
        <w:tc>
          <w:tcPr>
            <w:tcW w:w="6041" w:type="dxa"/>
            <w:tcBorders>
              <w:tl2br w:val="nil"/>
              <w:tr2bl w:val="nil"/>
            </w:tcBorders>
            <w:vAlign w:val="center"/>
          </w:tcPr>
          <w:p>
            <w:pPr>
              <w:pStyle w:val="21"/>
              <w:rPr>
                <w:rFonts w:ascii="Times New Roman" w:hAnsi="Times New Roman" w:cs="Times New Roman"/>
                <w:color w:val="000000" w:themeColor="text1"/>
                <w:sz w:val="21"/>
                <w:szCs w:val="21"/>
                <w14:textFill>
                  <w14:solidFill>
                    <w14:schemeClr w14:val="tx1"/>
                  </w14:solidFill>
                </w14:textFill>
              </w:rPr>
            </w:pPr>
            <w:r>
              <w:rPr>
                <w:rFonts w:ascii="Times New Roman" w:hAnsi="Times New Roman" w:cs="Times New Roman"/>
                <w:color w:val="000000"/>
                <w:sz w:val="21"/>
                <w:szCs w:val="21"/>
              </w:rPr>
              <w:t>固定污染源排气中二氧化硫的测定</w:t>
            </w:r>
            <w:r>
              <w:rPr>
                <w:rFonts w:hint="eastAsia" w:ascii="Times New Roman" w:hAnsi="Times New Roman" w:cs="Times New Roman"/>
                <w:color w:val="000000"/>
                <w:sz w:val="21"/>
                <w:szCs w:val="21"/>
              </w:rPr>
              <w:t xml:space="preserve"> </w:t>
            </w:r>
            <w:r>
              <w:rPr>
                <w:rFonts w:ascii="Times New Roman" w:hAnsi="Times New Roman" w:cs="Times New Roman"/>
                <w:color w:val="000000"/>
                <w:sz w:val="21"/>
                <w:szCs w:val="21"/>
              </w:rPr>
              <w:t>定电位电解法 HJ/T 57-2017</w:t>
            </w:r>
          </w:p>
        </w:tc>
        <w:tc>
          <w:tcPr>
            <w:tcW w:w="1617"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w:t>
            </w:r>
            <w:r>
              <w:rPr>
                <w:rFonts w:ascii="Times New Roman" w:hAnsi="Times New Roman" w:cs="Times New Roman"/>
                <w:color w:val="000000" w:themeColor="text1"/>
                <w:szCs w:val="21"/>
                <w14:textFill>
                  <w14:solidFill>
                    <w14:schemeClr w14:val="tx1"/>
                  </w14:solidFill>
                </w14:textFill>
              </w:rPr>
              <w:t>mg/m</w:t>
            </w:r>
            <w:r>
              <w:rPr>
                <w:rFonts w:ascii="Times New Roman" w:hAnsi="Times New Roman" w:cs="Times New Roman"/>
                <w:color w:val="000000" w:themeColor="text1"/>
                <w:szCs w:val="21"/>
                <w:vertAlign w:val="superscript"/>
                <w14:textFill>
                  <w14:solidFill>
                    <w14:schemeClr w14:val="tx1"/>
                  </w14:solidFill>
                </w14:textFill>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p>
        </w:tc>
        <w:tc>
          <w:tcPr>
            <w:tcW w:w="1384"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氮氧化物</w:t>
            </w:r>
          </w:p>
        </w:tc>
        <w:tc>
          <w:tcPr>
            <w:tcW w:w="6041" w:type="dxa"/>
            <w:tcBorders>
              <w:tl2br w:val="nil"/>
              <w:tr2bl w:val="nil"/>
            </w:tcBorders>
            <w:vAlign w:val="center"/>
          </w:tcPr>
          <w:p>
            <w:pPr>
              <w:pStyle w:val="21"/>
              <w:rPr>
                <w:rFonts w:ascii="Times New Roman" w:hAnsi="Times New Roman" w:cs="Times New Roman"/>
                <w:color w:val="000000" w:themeColor="text1"/>
                <w:sz w:val="21"/>
                <w:szCs w:val="21"/>
                <w14:textFill>
                  <w14:solidFill>
                    <w14:schemeClr w14:val="tx1"/>
                  </w14:solidFill>
                </w14:textFill>
              </w:rPr>
            </w:pPr>
            <w:r>
              <w:rPr>
                <w:rFonts w:ascii="Times New Roman" w:hAnsi="Times New Roman" w:cs="Times New Roman"/>
                <w:color w:val="000000"/>
                <w:sz w:val="21"/>
                <w:szCs w:val="21"/>
              </w:rPr>
              <w:t>固定污染源废气 氮氧化物的测定</w:t>
            </w:r>
            <w:r>
              <w:rPr>
                <w:rFonts w:hint="eastAsia" w:ascii="Times New Roman" w:hAnsi="Times New Roman" w:cs="Times New Roman"/>
                <w:color w:val="000000"/>
                <w:sz w:val="21"/>
                <w:szCs w:val="21"/>
              </w:rPr>
              <w:t xml:space="preserve"> </w:t>
            </w:r>
            <w:r>
              <w:rPr>
                <w:rFonts w:ascii="Times New Roman" w:hAnsi="Times New Roman" w:cs="Times New Roman"/>
                <w:color w:val="000000"/>
                <w:sz w:val="21"/>
                <w:szCs w:val="21"/>
              </w:rPr>
              <w:t>定电位电解法HJ 693-2014</w:t>
            </w:r>
          </w:p>
        </w:tc>
        <w:tc>
          <w:tcPr>
            <w:tcW w:w="1617"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w:t>
            </w:r>
            <w:r>
              <w:rPr>
                <w:rFonts w:ascii="Times New Roman" w:hAnsi="Times New Roman" w:cs="Times New Roman"/>
                <w:color w:val="000000" w:themeColor="text1"/>
                <w:szCs w:val="21"/>
                <w14:textFill>
                  <w14:solidFill>
                    <w14:schemeClr w14:val="tx1"/>
                  </w14:solidFill>
                </w14:textFill>
              </w:rPr>
              <w:t>mg/m</w:t>
            </w:r>
            <w:r>
              <w:rPr>
                <w:rFonts w:ascii="Times New Roman" w:hAnsi="Times New Roman" w:cs="Times New Roman"/>
                <w:color w:val="000000" w:themeColor="text1"/>
                <w:szCs w:val="21"/>
                <w:vertAlign w:val="superscript"/>
                <w14:textFill>
                  <w14:solidFill>
                    <w14:schemeClr w14:val="tx1"/>
                  </w14:solidFill>
                </w14:textFill>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restart"/>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无组织</w:t>
            </w:r>
          </w:p>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废气</w:t>
            </w:r>
          </w:p>
        </w:tc>
        <w:tc>
          <w:tcPr>
            <w:tcW w:w="1384" w:type="dxa"/>
            <w:tcBorders>
              <w:tl2br w:val="nil"/>
              <w:tr2bl w:val="nil"/>
            </w:tcBorders>
            <w:vAlign w:val="center"/>
          </w:tcPr>
          <w:p>
            <w:pPr>
              <w:spacing w:line="270" w:lineRule="exact"/>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颗粒物</w:t>
            </w:r>
          </w:p>
        </w:tc>
        <w:tc>
          <w:tcPr>
            <w:tcW w:w="6041" w:type="dxa"/>
            <w:tcBorders>
              <w:tl2br w:val="nil"/>
              <w:tr2bl w:val="nil"/>
            </w:tcBorders>
            <w:vAlign w:val="center"/>
          </w:tcPr>
          <w:p>
            <w:pPr>
              <w:widowControl/>
              <w:spacing w:line="270" w:lineRule="exact"/>
              <w:textAlignment w:val="center"/>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color w:val="000000" w:themeColor="text1"/>
                <w:kern w:val="0"/>
                <w:szCs w:val="21"/>
                <w14:textFill>
                  <w14:solidFill>
                    <w14:schemeClr w14:val="tx1"/>
                  </w14:solidFill>
                </w14:textFill>
              </w:rPr>
              <w:t>环境空气 总悬浮颗粒物的测定重量法GB/T 15432-1995</w:t>
            </w:r>
          </w:p>
        </w:tc>
        <w:tc>
          <w:tcPr>
            <w:tcW w:w="1617" w:type="dxa"/>
            <w:tcBorders>
              <w:tl2br w:val="nil"/>
              <w:tr2bl w:val="nil"/>
            </w:tcBorders>
            <w:vAlign w:val="center"/>
          </w:tcPr>
          <w:p>
            <w:pPr>
              <w:widowControl/>
              <w:spacing w:line="270" w:lineRule="exact"/>
              <w:jc w:val="center"/>
              <w:textAlignment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kern w:val="0"/>
                <w:szCs w:val="21"/>
                <w14:textFill>
                  <w14:solidFill>
                    <w14:schemeClr w14:val="tx1"/>
                  </w14:solidFill>
                </w14:textFill>
              </w:rPr>
              <w:t>0.001mg/m</w:t>
            </w:r>
            <w:r>
              <w:rPr>
                <w:rFonts w:ascii="Times New Roman" w:hAnsi="Times New Roman" w:cs="Times New Roman"/>
                <w:color w:val="000000" w:themeColor="text1"/>
                <w:kern w:val="0"/>
                <w:szCs w:val="21"/>
                <w:vertAlign w:val="superscript"/>
                <w14:textFill>
                  <w14:solidFill>
                    <w14:schemeClr w14:val="tx1"/>
                  </w14:solidFill>
                </w14:textFill>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乙酸丁酯</w:t>
            </w:r>
          </w:p>
        </w:tc>
        <w:tc>
          <w:tcPr>
            <w:tcW w:w="6041" w:type="dxa"/>
            <w:tcBorders>
              <w:tl2br w:val="nil"/>
              <w:tr2bl w:val="nil"/>
            </w:tcBorders>
            <w:vAlign w:val="center"/>
          </w:tcPr>
          <w:p>
            <w:pPr>
              <w:widowControl/>
              <w:textAlignment w:val="center"/>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color w:val="000000" w:themeColor="text1"/>
                <w:kern w:val="0"/>
                <w:szCs w:val="21"/>
                <w14:textFill>
                  <w14:solidFill>
                    <w14:schemeClr w14:val="tx1"/>
                  </w14:solidFill>
                </w14:textFill>
              </w:rPr>
              <w:t>民用建筑工程室内环境污染控制规范</w:t>
            </w:r>
            <w:r>
              <w:rPr>
                <w:rFonts w:hint="eastAsia" w:ascii="Times New Roman" w:hAnsi="Times New Roman" w:cs="Times New Roman"/>
                <w:color w:val="000000" w:themeColor="text1"/>
                <w:kern w:val="0"/>
                <w:szCs w:val="21"/>
                <w14:textFill>
                  <w14:solidFill>
                    <w14:schemeClr w14:val="tx1"/>
                  </w14:solidFill>
                </w14:textFill>
              </w:rPr>
              <w:t xml:space="preserve"> </w:t>
            </w:r>
            <w:r>
              <w:rPr>
                <w:rFonts w:ascii="Times New Roman" w:hAnsi="Times New Roman" w:cs="Times New Roman"/>
                <w:color w:val="000000" w:themeColor="text1"/>
                <w:kern w:val="0"/>
                <w:szCs w:val="21"/>
                <w14:textFill>
                  <w14:solidFill>
                    <w14:schemeClr w14:val="tx1"/>
                  </w14:solidFill>
                </w14:textFill>
              </w:rPr>
              <w:t>GB 50325-2010（2013版）附录G</w:t>
            </w:r>
          </w:p>
        </w:tc>
        <w:tc>
          <w:tcPr>
            <w:tcW w:w="1617" w:type="dxa"/>
            <w:tcBorders>
              <w:tl2br w:val="nil"/>
              <w:tr2bl w:val="nil"/>
            </w:tcBorders>
            <w:vAlign w:val="center"/>
          </w:tcPr>
          <w:p>
            <w:pPr>
              <w:widowControl/>
              <w:jc w:val="center"/>
              <w:textAlignment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kern w:val="0"/>
                <w:szCs w:val="21"/>
                <w14:textFill>
                  <w14:solidFill>
                    <w14:schemeClr w14:val="tx1"/>
                  </w14:solidFill>
                </w14:textFill>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丁醇</w:t>
            </w:r>
          </w:p>
        </w:tc>
        <w:tc>
          <w:tcPr>
            <w:tcW w:w="6041" w:type="dxa"/>
            <w:tcBorders>
              <w:tl2br w:val="nil"/>
              <w:tr2bl w:val="nil"/>
            </w:tcBorders>
            <w:vAlign w:val="center"/>
          </w:tcPr>
          <w:p>
            <w:pPr>
              <w:widowControl/>
              <w:textAlignment w:val="center"/>
              <w:rPr>
                <w:rFonts w:ascii="Times New Roman" w:hAnsi="Times New Roman" w:cs="Times New Roman"/>
                <w:kern w:val="0"/>
                <w:szCs w:val="21"/>
              </w:rPr>
            </w:pPr>
            <w:r>
              <w:rPr>
                <w:rFonts w:ascii="Times New Roman" w:hAnsi="Times New Roman" w:cs="Times New Roman"/>
                <w:kern w:val="0"/>
                <w:szCs w:val="21"/>
              </w:rPr>
              <w:t>工作场所空气有毒物质测定醇类化合物GBZ/T 160.48—2007</w:t>
            </w:r>
          </w:p>
        </w:tc>
        <w:tc>
          <w:tcPr>
            <w:tcW w:w="1617" w:type="dxa"/>
            <w:tcBorders>
              <w:tl2br w:val="nil"/>
              <w:tr2bl w:val="nil"/>
            </w:tcBorders>
            <w:vAlign w:val="center"/>
          </w:tcPr>
          <w:p>
            <w:pPr>
              <w:widowControl/>
              <w:jc w:val="center"/>
              <w:textAlignment w:val="center"/>
              <w:rPr>
                <w:rFonts w:ascii="Times New Roman" w:hAnsi="Times New Roman" w:cs="Times New Roman"/>
                <w:kern w:val="0"/>
                <w:szCs w:val="21"/>
              </w:rPr>
            </w:pPr>
            <w:r>
              <w:rPr>
                <w:rFonts w:ascii="Times New Roman" w:hAnsi="Times New Roman" w:cs="Times New Roman"/>
                <w:szCs w:val="21"/>
              </w:rPr>
              <w:t>0.4mg/m</w:t>
            </w:r>
            <w:r>
              <w:rPr>
                <w:rFonts w:ascii="Times New Roman" w:hAnsi="Times New Roman" w:cs="Times New Roman"/>
                <w:szCs w:val="21"/>
                <w:vertAlign w:val="superscript"/>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rPr>
                <w:rFonts w:ascii="Times New Roman" w:hAnsi="Times New Roman" w:cs="Times New Roman"/>
                <w:color w:val="FF0000"/>
                <w:szCs w:val="21"/>
              </w:rPr>
            </w:pPr>
            <w:r>
              <w:rPr>
                <w:rFonts w:hint="eastAsia" w:ascii="Times New Roman" w:hAnsi="Times New Roman" w:cs="Times New Roman"/>
                <w:szCs w:val="21"/>
              </w:rPr>
              <w:t>挥发性有机物</w:t>
            </w:r>
          </w:p>
        </w:tc>
        <w:tc>
          <w:tcPr>
            <w:tcW w:w="6041" w:type="dxa"/>
            <w:tcBorders>
              <w:tl2br w:val="nil"/>
              <w:tr2bl w:val="nil"/>
            </w:tcBorders>
            <w:vAlign w:val="center"/>
          </w:tcPr>
          <w:p>
            <w:pPr>
              <w:pStyle w:val="21"/>
              <w:jc w:val="both"/>
              <w:rPr>
                <w:rFonts w:ascii="Times New Roman" w:hAnsi="Times New Roman" w:cs="Times New Roman"/>
                <w:color w:val="FF0000"/>
                <w:sz w:val="21"/>
                <w:szCs w:val="21"/>
              </w:rPr>
            </w:pPr>
            <w:r>
              <w:rPr>
                <w:rFonts w:ascii="Times New Roman" w:hAnsi="Times New Roman" w:cs="Times New Roman"/>
                <w:color w:val="000000"/>
                <w:sz w:val="21"/>
                <w:szCs w:val="21"/>
              </w:rPr>
              <w:t>环境空气 挥发性有机物的测定 吸附管采样-热脱附/气相色谱-质谱法HJ 644-2013</w:t>
            </w:r>
          </w:p>
        </w:tc>
        <w:tc>
          <w:tcPr>
            <w:tcW w:w="1617" w:type="dxa"/>
            <w:tcBorders>
              <w:tl2br w:val="nil"/>
              <w:tr2bl w:val="nil"/>
            </w:tcBorders>
            <w:vAlign w:val="center"/>
          </w:tcPr>
          <w:p>
            <w:pPr>
              <w:pStyle w:val="21"/>
              <w:jc w:val="center"/>
              <w:rPr>
                <w:rFonts w:ascii="Times New Roman" w:hAnsi="Times New Roman" w:cs="Times New Roman"/>
                <w:color w:val="FF0000"/>
                <w:sz w:val="21"/>
                <w:szCs w:val="21"/>
              </w:rPr>
            </w:pPr>
            <w:r>
              <w:rPr>
                <w:rFonts w:ascii="Times New Roman" w:hAnsi="Times New Roman" w:cs="Times New Roman"/>
                <w:color w:val="000000"/>
                <w:sz w:val="21"/>
                <w:szCs w:val="21"/>
              </w:rPr>
              <w:t>0.3~1.0μg/m</w:t>
            </w:r>
            <w:r>
              <w:rPr>
                <w:rFonts w:ascii="Times New Roman" w:hAnsi="Times New Roman" w:cs="Times New Roman"/>
                <w:color w:val="000000"/>
                <w:sz w:val="21"/>
                <w:szCs w:val="21"/>
                <w:vertAlign w:val="superscript"/>
              </w:rPr>
              <w:t>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restart"/>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r>
              <w:rPr>
                <w:rFonts w:ascii="Times New Roman" w:hAnsi="Times New Roman" w:cs="Times New Roman"/>
                <w:szCs w:val="21"/>
              </w:rPr>
              <w:t>废水</w:t>
            </w:r>
          </w:p>
        </w:tc>
        <w:tc>
          <w:tcPr>
            <w:tcW w:w="1384" w:type="dxa"/>
            <w:tcBorders>
              <w:tl2br w:val="nil"/>
              <w:tr2bl w:val="nil"/>
            </w:tcBorders>
            <w:vAlign w:val="center"/>
          </w:tcPr>
          <w:p>
            <w:pPr>
              <w:spacing w:line="270" w:lineRule="exact"/>
              <w:jc w:val="center"/>
              <w:rPr>
                <w:rFonts w:ascii="Times New Roman" w:hAnsi="Times New Roman" w:cs="Times New Roman"/>
                <w:szCs w:val="21"/>
              </w:rPr>
            </w:pPr>
            <w:r>
              <w:rPr>
                <w:rFonts w:ascii="Times New Roman" w:hAnsi="Times New Roman" w:cs="Times New Roman"/>
                <w:szCs w:val="21"/>
              </w:rPr>
              <w:t>pH值</w:t>
            </w:r>
          </w:p>
          <w:p>
            <w:pPr>
              <w:spacing w:line="270" w:lineRule="exact"/>
              <w:jc w:val="center"/>
              <w:rPr>
                <w:rFonts w:ascii="Times New Roman" w:hAnsi="Times New Roman" w:cs="Times New Roman"/>
                <w:szCs w:val="21"/>
              </w:rPr>
            </w:pPr>
            <w:r>
              <w:rPr>
                <w:rFonts w:ascii="Times New Roman" w:hAnsi="Times New Roman" w:cs="Times New Roman"/>
                <w:szCs w:val="21"/>
              </w:rPr>
              <w:t>（无量纲）</w:t>
            </w:r>
          </w:p>
        </w:tc>
        <w:tc>
          <w:tcPr>
            <w:tcW w:w="6041" w:type="dxa"/>
            <w:tcBorders>
              <w:tl2br w:val="nil"/>
              <w:tr2bl w:val="nil"/>
            </w:tcBorders>
            <w:vAlign w:val="center"/>
          </w:tcPr>
          <w:p>
            <w:pPr>
              <w:spacing w:line="270" w:lineRule="exact"/>
              <w:rPr>
                <w:rFonts w:ascii="Times New Roman" w:hAnsi="Times New Roman" w:cs="Times New Roman"/>
                <w:szCs w:val="21"/>
              </w:rPr>
            </w:pPr>
            <w:r>
              <w:rPr>
                <w:rFonts w:ascii="Times New Roman" w:hAnsi="Times New Roman" w:cs="Times New Roman"/>
                <w:szCs w:val="21"/>
              </w:rPr>
              <w:t>水质 pH值的测定玻璃电极法GB6920-1986</w:t>
            </w:r>
          </w:p>
        </w:tc>
        <w:tc>
          <w:tcPr>
            <w:tcW w:w="1617" w:type="dxa"/>
            <w:tcBorders>
              <w:tl2br w:val="nil"/>
              <w:tr2bl w:val="nil"/>
            </w:tcBorders>
            <w:vAlign w:val="center"/>
          </w:tcPr>
          <w:p>
            <w:pPr>
              <w:widowControl/>
              <w:snapToGrid w:val="0"/>
              <w:spacing w:line="270" w:lineRule="exact"/>
              <w:jc w:val="center"/>
              <w:rPr>
                <w:rFonts w:ascii="Times New Roman" w:hAnsi="Times New Roman" w:cs="Times New Roman"/>
                <w:szCs w:val="21"/>
              </w:rPr>
            </w:pPr>
            <w:r>
              <w:rPr>
                <w:rFonts w:ascii="Times New Roman" w:hAnsi="Times New Roman" w:cs="Times New Roman"/>
                <w:szCs w:val="21"/>
              </w:rPr>
              <w:t>2~12</w:t>
            </w:r>
          </w:p>
          <w:p>
            <w:pPr>
              <w:widowControl/>
              <w:snapToGrid w:val="0"/>
              <w:spacing w:line="270" w:lineRule="exact"/>
              <w:jc w:val="center"/>
              <w:rPr>
                <w:rFonts w:ascii="Times New Roman" w:hAnsi="Times New Roman" w:cs="Times New Roman"/>
                <w:szCs w:val="21"/>
              </w:rPr>
            </w:pPr>
            <w:r>
              <w:rPr>
                <w:rFonts w:ascii="Times New Roman" w:hAnsi="Times New Roman" w:cs="Times New Roman"/>
                <w:szCs w:val="21"/>
              </w:rPr>
              <w:t>（检测范围）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spacing w:line="270" w:lineRule="exact"/>
              <w:jc w:val="center"/>
              <w:rPr>
                <w:rFonts w:ascii="Times New Roman" w:hAnsi="Times New Roman" w:cs="Times New Roman"/>
                <w:szCs w:val="21"/>
              </w:rPr>
            </w:pPr>
            <w:r>
              <w:rPr>
                <w:rFonts w:ascii="Times New Roman" w:hAnsi="Times New Roman" w:cs="Times New Roman"/>
                <w:szCs w:val="21"/>
              </w:rPr>
              <w:t>悬浮物</w:t>
            </w:r>
          </w:p>
        </w:tc>
        <w:tc>
          <w:tcPr>
            <w:tcW w:w="6041" w:type="dxa"/>
            <w:tcBorders>
              <w:tl2br w:val="nil"/>
              <w:tr2bl w:val="nil"/>
            </w:tcBorders>
            <w:vAlign w:val="center"/>
          </w:tcPr>
          <w:p>
            <w:pPr>
              <w:spacing w:line="270" w:lineRule="exact"/>
              <w:rPr>
                <w:rFonts w:ascii="Times New Roman" w:hAnsi="Times New Roman" w:cs="Times New Roman"/>
                <w:szCs w:val="21"/>
              </w:rPr>
            </w:pPr>
            <w:r>
              <w:rPr>
                <w:rFonts w:ascii="Times New Roman" w:hAnsi="Times New Roman" w:cs="Times New Roman"/>
                <w:szCs w:val="21"/>
              </w:rPr>
              <w:t>水质 悬浮物的测定重量法GB11901-1989</w:t>
            </w:r>
          </w:p>
        </w:tc>
        <w:tc>
          <w:tcPr>
            <w:tcW w:w="1617" w:type="dxa"/>
            <w:tcBorders>
              <w:tl2br w:val="nil"/>
              <w:tr2bl w:val="nil"/>
            </w:tcBorders>
            <w:vAlign w:val="center"/>
          </w:tcPr>
          <w:p>
            <w:pPr>
              <w:widowControl/>
              <w:snapToGrid w:val="0"/>
              <w:spacing w:line="270" w:lineRule="exact"/>
              <w:jc w:val="center"/>
              <w:rPr>
                <w:rFonts w:ascii="Times New Roman" w:hAnsi="Times New Roman" w:cs="Times New Roman"/>
                <w:szCs w:val="21"/>
              </w:rPr>
            </w:pPr>
            <w:r>
              <w:rPr>
                <w:rFonts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化学需氧量</w:t>
            </w:r>
          </w:p>
        </w:tc>
        <w:tc>
          <w:tcPr>
            <w:tcW w:w="6041" w:type="dxa"/>
            <w:tcBorders>
              <w:tl2br w:val="nil"/>
              <w:tr2bl w:val="nil"/>
            </w:tcBorders>
            <w:vAlign w:val="center"/>
          </w:tcPr>
          <w:p>
            <w:pPr>
              <w:widowControl/>
              <w:snapToGrid w:val="0"/>
              <w:rPr>
                <w:rFonts w:ascii="Times New Roman" w:hAnsi="Times New Roman" w:cs="Times New Roman"/>
                <w:szCs w:val="21"/>
              </w:rPr>
            </w:pPr>
            <w:r>
              <w:rPr>
                <w:rFonts w:ascii="Times New Roman" w:hAnsi="Times New Roman" w:cs="Times New Roman"/>
                <w:szCs w:val="21"/>
              </w:rPr>
              <w:t>水质 化学需氧量的测定重铬酸盐法HJ828-2017</w:t>
            </w:r>
          </w:p>
        </w:tc>
        <w:tc>
          <w:tcPr>
            <w:tcW w:w="1617"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4mg/L</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氨氮</w:t>
            </w:r>
          </w:p>
        </w:tc>
        <w:tc>
          <w:tcPr>
            <w:tcW w:w="6041" w:type="dxa"/>
            <w:tcBorders>
              <w:tl2br w:val="nil"/>
              <w:tr2bl w:val="nil"/>
            </w:tcBorders>
            <w:vAlign w:val="center"/>
          </w:tcPr>
          <w:p>
            <w:pPr>
              <w:widowControl/>
              <w:snapToGrid w:val="0"/>
              <w:rPr>
                <w:rFonts w:ascii="Times New Roman" w:hAnsi="Times New Roman" w:cs="Times New Roman"/>
                <w:szCs w:val="21"/>
              </w:rPr>
            </w:pPr>
            <w:r>
              <w:rPr>
                <w:rFonts w:ascii="Times New Roman" w:hAnsi="Times New Roman" w:cs="Times New Roman"/>
                <w:szCs w:val="21"/>
              </w:rPr>
              <w:t>水质 氨氮的测定纳氏试剂分光光度法HJ535-2009</w:t>
            </w:r>
          </w:p>
        </w:tc>
        <w:tc>
          <w:tcPr>
            <w:tcW w:w="1617"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0.025mg/L</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总磷</w:t>
            </w:r>
          </w:p>
          <w:p>
            <w:pPr>
              <w:jc w:val="center"/>
              <w:rPr>
                <w:rFonts w:ascii="Times New Roman" w:hAnsi="Times New Roman" w:cs="Times New Roman"/>
                <w:szCs w:val="21"/>
              </w:rPr>
            </w:pPr>
            <w:r>
              <w:rPr>
                <w:rFonts w:ascii="Times New Roman" w:hAnsi="Times New Roman" w:cs="Times New Roman"/>
                <w:szCs w:val="21"/>
              </w:rPr>
              <w:t>（以P计）</w:t>
            </w:r>
          </w:p>
        </w:tc>
        <w:tc>
          <w:tcPr>
            <w:tcW w:w="6041" w:type="dxa"/>
            <w:tcBorders>
              <w:tl2br w:val="nil"/>
              <w:tr2bl w:val="nil"/>
            </w:tcBorders>
            <w:vAlign w:val="center"/>
          </w:tcPr>
          <w:p>
            <w:pPr>
              <w:widowControl/>
              <w:snapToGrid w:val="0"/>
              <w:rPr>
                <w:rFonts w:ascii="Times New Roman" w:hAnsi="Times New Roman" w:cs="Times New Roman"/>
                <w:szCs w:val="21"/>
              </w:rPr>
            </w:pPr>
            <w:r>
              <w:rPr>
                <w:rFonts w:ascii="Times New Roman" w:hAnsi="Times New Roman" w:cs="Times New Roman"/>
                <w:szCs w:val="21"/>
              </w:rPr>
              <w:t>水质 总磷的测定钼酸铵分光光度法GB11893-1989</w:t>
            </w:r>
          </w:p>
        </w:tc>
        <w:tc>
          <w:tcPr>
            <w:tcW w:w="1617"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0.01mg/L</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77" w:hRule="atLeast"/>
          <w:jc w:val="center"/>
        </w:trPr>
        <w:tc>
          <w:tcPr>
            <w:tcW w:w="1131" w:type="dxa"/>
            <w:vMerge w:val="continue"/>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p>
        </w:tc>
        <w:tc>
          <w:tcPr>
            <w:tcW w:w="1384"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石油类</w:t>
            </w:r>
            <w:r>
              <w:rPr>
                <w:rFonts w:hint="eastAsia" w:ascii="Times New Roman" w:hAnsi="Times New Roman" w:cs="Times New Roman"/>
                <w:szCs w:val="21"/>
              </w:rPr>
              <w:t>、动植物油</w:t>
            </w:r>
          </w:p>
        </w:tc>
        <w:tc>
          <w:tcPr>
            <w:tcW w:w="6041" w:type="dxa"/>
            <w:tcBorders>
              <w:tl2br w:val="nil"/>
              <w:tr2bl w:val="nil"/>
            </w:tcBorders>
            <w:vAlign w:val="center"/>
          </w:tcPr>
          <w:p>
            <w:pPr>
              <w:widowControl/>
              <w:snapToGrid w:val="0"/>
              <w:rPr>
                <w:rFonts w:hint="eastAsia" w:ascii="Times New Roman" w:hAnsi="Times New Roman" w:cs="Times New Roman" w:eastAsiaTheme="minorEastAsia"/>
                <w:szCs w:val="21"/>
                <w:lang w:eastAsia="zh-CN"/>
              </w:rPr>
            </w:pPr>
            <w:r>
              <w:rPr>
                <w:rFonts w:ascii="Times New Roman" w:hAnsi="Times New Roman" w:cs="Times New Roman"/>
                <w:szCs w:val="21"/>
              </w:rPr>
              <w:t>水质 石油类和动植物油</w:t>
            </w:r>
            <w:r>
              <w:rPr>
                <w:rFonts w:hint="eastAsia" w:ascii="Times New Roman" w:hAnsi="Times New Roman" w:cs="Times New Roman"/>
                <w:szCs w:val="21"/>
                <w:lang w:val="en-US" w:eastAsia="zh-CN"/>
              </w:rPr>
              <w:t>类</w:t>
            </w:r>
            <w:r>
              <w:rPr>
                <w:rFonts w:ascii="Times New Roman" w:hAnsi="Times New Roman" w:cs="Times New Roman"/>
                <w:szCs w:val="21"/>
              </w:rPr>
              <w:t>的测定红外分光光度法 HJ637-201</w:t>
            </w:r>
            <w:r>
              <w:rPr>
                <w:rFonts w:hint="eastAsia" w:ascii="Times New Roman" w:hAnsi="Times New Roman" w:cs="Times New Roman"/>
                <w:szCs w:val="21"/>
                <w:lang w:val="en-US" w:eastAsia="zh-CN"/>
              </w:rPr>
              <w:t>8</w:t>
            </w:r>
          </w:p>
        </w:tc>
        <w:tc>
          <w:tcPr>
            <w:tcW w:w="1617" w:type="dxa"/>
            <w:tcBorders>
              <w:tl2br w:val="nil"/>
              <w:tr2bl w:val="nil"/>
            </w:tcBorders>
            <w:vAlign w:val="center"/>
          </w:tcPr>
          <w:p>
            <w:pPr>
              <w:widowControl/>
              <w:snapToGrid w:val="0"/>
              <w:jc w:val="center"/>
              <w:rPr>
                <w:rFonts w:ascii="Times New Roman" w:hAnsi="Times New Roman" w:cs="Times New Roman"/>
                <w:szCs w:val="21"/>
              </w:rPr>
            </w:pPr>
            <w:r>
              <w:rPr>
                <w:rFonts w:ascii="Times New Roman" w:hAnsi="Times New Roman" w:cs="Times New Roman"/>
                <w:szCs w:val="21"/>
              </w:rPr>
              <w:t>0.0</w:t>
            </w:r>
            <w:r>
              <w:rPr>
                <w:rFonts w:hint="eastAsia" w:ascii="Times New Roman" w:hAnsi="Times New Roman" w:cs="Times New Roman"/>
                <w:szCs w:val="21"/>
              </w:rPr>
              <w:t>6</w:t>
            </w:r>
            <w:r>
              <w:rPr>
                <w:rFonts w:ascii="Times New Roman" w:hAnsi="Times New Roman" w:cs="Times New Roman"/>
                <w:szCs w:val="21"/>
              </w:rPr>
              <w:t>mg/L</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77" w:hRule="atLeast"/>
          <w:jc w:val="center"/>
        </w:trPr>
        <w:tc>
          <w:tcPr>
            <w:tcW w:w="1131"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color w:val="FF0000"/>
                <w:szCs w:val="21"/>
              </w:rPr>
            </w:pPr>
            <w:r>
              <w:rPr>
                <w:rFonts w:ascii="Times New Roman" w:hAnsi="Times New Roman" w:cs="Times New Roman"/>
                <w:szCs w:val="21"/>
              </w:rPr>
              <w:t>噪声</w:t>
            </w:r>
          </w:p>
        </w:tc>
        <w:tc>
          <w:tcPr>
            <w:tcW w:w="1384"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工业企业</w:t>
            </w:r>
          </w:p>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厂界噪声</w:t>
            </w:r>
          </w:p>
        </w:tc>
        <w:tc>
          <w:tcPr>
            <w:tcW w:w="6041" w:type="dxa"/>
            <w:tcBorders>
              <w:tl2br w:val="nil"/>
              <w:tr2bl w:val="nil"/>
            </w:tcBorders>
            <w:vAlign w:val="center"/>
          </w:tcPr>
          <w:p>
            <w:pPr>
              <w:widowControl/>
              <w:snapToGrid w:val="0"/>
              <w:rPr>
                <w:rFonts w:ascii="Times New Roman" w:hAnsi="Times New Roman" w:cs="Times New Roman"/>
                <w:szCs w:val="21"/>
              </w:rPr>
            </w:pPr>
            <w:r>
              <w:rPr>
                <w:rFonts w:ascii="Times New Roman" w:hAnsi="Times New Roman" w:cs="Times New Roman"/>
                <w:szCs w:val="21"/>
              </w:rPr>
              <w:t>工业企业厂界环境噪声排放标准</w:t>
            </w:r>
            <w:r>
              <w:rPr>
                <w:rFonts w:hint="eastAsia" w:ascii="Times New Roman" w:hAnsi="Times New Roman" w:cs="Times New Roman"/>
                <w:szCs w:val="21"/>
              </w:rPr>
              <w:t xml:space="preserve"> </w:t>
            </w:r>
            <w:r>
              <w:rPr>
                <w:rFonts w:ascii="Times New Roman" w:hAnsi="Times New Roman" w:cs="Times New Roman"/>
                <w:szCs w:val="21"/>
              </w:rPr>
              <w:t>GB12348-2008</w:t>
            </w:r>
          </w:p>
        </w:tc>
        <w:tc>
          <w:tcPr>
            <w:tcW w:w="1617" w:type="dxa"/>
            <w:tcBorders>
              <w:tl2br w:val="nil"/>
              <w:tr2bl w:val="nil"/>
            </w:tcBorders>
            <w:vAlign w:val="center"/>
          </w:tcPr>
          <w:p>
            <w:pPr>
              <w:tabs>
                <w:tab w:val="left" w:pos="1440"/>
                <w:tab w:val="left" w:pos="2736"/>
                <w:tab w:val="left" w:pos="2880"/>
                <w:tab w:val="left" w:pos="10944"/>
              </w:tabs>
              <w:autoSpaceDE w:val="0"/>
              <w:autoSpaceDN w:val="0"/>
              <w:adjustRightInd w:val="0"/>
              <w:jc w:val="center"/>
              <w:textAlignment w:val="baseline"/>
              <w:rPr>
                <w:rFonts w:ascii="Times New Roman" w:hAnsi="Times New Roman" w:cs="Times New Roman"/>
                <w:szCs w:val="21"/>
              </w:rPr>
            </w:pPr>
            <w:r>
              <w:rPr>
                <w:rFonts w:ascii="Times New Roman" w:hAnsi="Times New Roman" w:cs="Times New Roman"/>
                <w:szCs w:val="21"/>
              </w:rPr>
              <w:t>/</w:t>
            </w:r>
          </w:p>
        </w:tc>
      </w:tr>
    </w:tbl>
    <w:p>
      <w:pPr>
        <w:widowControl/>
        <w:rPr>
          <w:rFonts w:ascii="Times New Roman" w:hAnsi="宋体" w:cs="Times New Roman"/>
          <w:bCs/>
          <w:sz w:val="24"/>
        </w:rPr>
      </w:pPr>
      <w:bookmarkStart w:id="180" w:name="_Toc6243"/>
      <w:bookmarkStart w:id="181" w:name="_Toc13639"/>
      <w:bookmarkStart w:id="182" w:name="_Toc20318"/>
      <w:bookmarkStart w:id="183" w:name="_Toc7298_WPSOffice_Level3"/>
    </w:p>
    <w:p>
      <w:pPr>
        <w:widowControl/>
        <w:rPr>
          <w:rFonts w:ascii="Times New Roman" w:hAnsi="宋体" w:cs="Times New Roman"/>
          <w:bCs/>
          <w:sz w:val="24"/>
        </w:rPr>
      </w:pPr>
    </w:p>
    <w:p>
      <w:pPr>
        <w:widowControl/>
        <w:rPr>
          <w:rFonts w:ascii="Times New Roman" w:hAnsi="宋体" w:cs="Times New Roman"/>
          <w:bCs/>
          <w:sz w:val="24"/>
        </w:rPr>
      </w:pPr>
    </w:p>
    <w:p>
      <w:pPr>
        <w:pStyle w:val="2"/>
        <w:rPr>
          <w:rFonts w:ascii="Times New Roman" w:hAnsi="宋体" w:cs="Times New Roman"/>
          <w:bCs/>
          <w:sz w:val="24"/>
        </w:rPr>
      </w:pPr>
    </w:p>
    <w:p>
      <w:pPr>
        <w:rPr>
          <w:rFonts w:ascii="Times New Roman" w:hAnsi="宋体" w:cs="Times New Roman"/>
          <w:bCs/>
          <w:sz w:val="24"/>
        </w:rPr>
      </w:pPr>
    </w:p>
    <w:p>
      <w:pPr>
        <w:pStyle w:val="4"/>
        <w:widowControl/>
        <w:rPr>
          <w:rFonts w:ascii="Times New Roman" w:hAnsi="宋体" w:cs="Times New Roman"/>
          <w:bCs/>
          <w:color w:val="FF0000"/>
          <w:sz w:val="24"/>
          <w:szCs w:val="24"/>
        </w:rPr>
      </w:pPr>
      <w:bookmarkStart w:id="184" w:name="_Toc5556"/>
      <w:r>
        <w:rPr>
          <w:rFonts w:hint="eastAsia" w:ascii="Times New Roman" w:hAnsi="宋体" w:cs="Times New Roman"/>
          <w:bCs/>
          <w:sz w:val="24"/>
          <w:szCs w:val="24"/>
        </w:rPr>
        <w:t>8.2监测仪器</w:t>
      </w:r>
      <w:bookmarkEnd w:id="184"/>
    </w:p>
    <w:p>
      <w:pPr>
        <w:pStyle w:val="7"/>
        <w:bidi w:val="0"/>
      </w:pPr>
      <w:r>
        <w:t>表</w:t>
      </w:r>
      <w:r>
        <w:rPr>
          <w:rFonts w:hint="eastAsia"/>
          <w:lang w:eastAsia="zh-CN"/>
        </w:rPr>
        <w:t>8-2</w:t>
      </w:r>
      <w:r>
        <w:rPr>
          <w:rFonts w:hint="eastAsia"/>
          <w:lang w:val="en-US" w:eastAsia="zh-CN"/>
        </w:rPr>
        <w:t xml:space="preserve">  </w:t>
      </w:r>
      <w:r>
        <w:rPr>
          <w:rFonts w:hint="eastAsia"/>
          <w:lang w:eastAsia="zh-CN"/>
        </w:rPr>
        <w:t>监测仪器一览表</w:t>
      </w:r>
    </w:p>
    <w:tbl>
      <w:tblPr>
        <w:tblStyle w:val="24"/>
        <w:tblpPr w:leftFromText="180" w:rightFromText="180" w:vertAnchor="text" w:horzAnchor="page" w:tblpX="1570" w:tblpY="78"/>
        <w:tblOverlap w:val="never"/>
        <w:tblW w:w="8939" w:type="dxa"/>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44"/>
        <w:gridCol w:w="2659"/>
        <w:gridCol w:w="1854"/>
        <w:gridCol w:w="1923"/>
        <w:gridCol w:w="1759"/>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szCs w:val="21"/>
              </w:rPr>
            </w:pPr>
            <w:bookmarkStart w:id="185" w:name="_Toc25389"/>
            <w:bookmarkStart w:id="186" w:name="_Toc2232"/>
            <w:r>
              <w:rPr>
                <w:rFonts w:cs="Times New Roman" w:eastAsiaTheme="minorEastAsia"/>
                <w:szCs w:val="21"/>
              </w:rPr>
              <w:t>项目</w:t>
            </w:r>
            <w:bookmarkEnd w:id="185"/>
            <w:bookmarkEnd w:id="186"/>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szCs w:val="21"/>
              </w:rPr>
            </w:pPr>
            <w:bookmarkStart w:id="187" w:name="_Toc11897"/>
            <w:bookmarkStart w:id="188" w:name="_Toc26046"/>
            <w:r>
              <w:rPr>
                <w:rFonts w:cs="Times New Roman" w:eastAsiaTheme="minorEastAsia"/>
                <w:szCs w:val="21"/>
              </w:rPr>
              <w:t>仪器名称</w:t>
            </w:r>
            <w:bookmarkEnd w:id="187"/>
            <w:bookmarkEnd w:id="188"/>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szCs w:val="21"/>
              </w:rPr>
            </w:pPr>
            <w:bookmarkStart w:id="189" w:name="_Toc22071"/>
            <w:bookmarkStart w:id="190" w:name="_Toc4324"/>
            <w:r>
              <w:rPr>
                <w:rFonts w:cs="Times New Roman" w:eastAsiaTheme="minorEastAsia"/>
                <w:szCs w:val="21"/>
              </w:rPr>
              <w:t>规格型号</w:t>
            </w:r>
            <w:bookmarkEnd w:id="189"/>
            <w:bookmarkEnd w:id="190"/>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szCs w:val="21"/>
              </w:rPr>
            </w:pPr>
            <w:bookmarkStart w:id="191" w:name="_Toc7571"/>
            <w:bookmarkStart w:id="192" w:name="_Toc3116"/>
            <w:r>
              <w:rPr>
                <w:rFonts w:cs="Times New Roman" w:eastAsiaTheme="minorEastAsia"/>
                <w:szCs w:val="21"/>
              </w:rPr>
              <w:t>仪器编号</w:t>
            </w:r>
            <w:bookmarkEnd w:id="191"/>
            <w:bookmarkEnd w:id="192"/>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szCs w:val="21"/>
              </w:rPr>
            </w:pPr>
            <w:bookmarkStart w:id="193" w:name="_Toc6415"/>
            <w:bookmarkStart w:id="194" w:name="_Toc14895"/>
            <w:r>
              <w:rPr>
                <w:rFonts w:cs="Times New Roman" w:eastAsiaTheme="minorEastAsia"/>
                <w:szCs w:val="21"/>
              </w:rPr>
              <w:t>校准/检定情况</w:t>
            </w:r>
            <w:bookmarkEnd w:id="193"/>
            <w:bookmarkEnd w:id="194"/>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restart"/>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195" w:name="_Toc7729"/>
            <w:bookmarkStart w:id="196" w:name="_Toc31279"/>
            <w:r>
              <w:rPr>
                <w:rFonts w:cs="Times New Roman" w:eastAsiaTheme="minorEastAsia"/>
                <w:b w:val="0"/>
                <w:bCs/>
                <w:szCs w:val="21"/>
              </w:rPr>
              <w:t>废气</w:t>
            </w:r>
            <w:bookmarkEnd w:id="195"/>
            <w:bookmarkEnd w:id="196"/>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197" w:name="_Toc28422"/>
            <w:bookmarkStart w:id="198" w:name="_Toc21374"/>
            <w:r>
              <w:rPr>
                <w:rFonts w:cs="Times New Roman" w:eastAsiaTheme="minorEastAsia"/>
                <w:b w:val="0"/>
                <w:bCs/>
                <w:szCs w:val="21"/>
              </w:rPr>
              <w:t>电子天平</w:t>
            </w:r>
            <w:bookmarkEnd w:id="197"/>
            <w:bookmarkEnd w:id="198"/>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199" w:name="_Toc31017"/>
            <w:bookmarkStart w:id="200" w:name="_Toc9005"/>
            <w:r>
              <w:rPr>
                <w:rFonts w:cs="Times New Roman" w:eastAsiaTheme="minorEastAsia"/>
                <w:b w:val="0"/>
                <w:bCs/>
                <w:szCs w:val="21"/>
              </w:rPr>
              <w:t>CPA225D</w:t>
            </w:r>
            <w:bookmarkEnd w:id="199"/>
            <w:bookmarkEnd w:id="200"/>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01" w:name="_Toc19257"/>
            <w:bookmarkStart w:id="202" w:name="_Toc27728"/>
            <w:r>
              <w:rPr>
                <w:rFonts w:cs="Times New Roman" w:eastAsiaTheme="minorEastAsia"/>
                <w:b w:val="0"/>
                <w:bCs/>
                <w:szCs w:val="21"/>
              </w:rPr>
              <w:t>NVTT-YQ-0103</w:t>
            </w:r>
            <w:bookmarkEnd w:id="201"/>
            <w:bookmarkEnd w:id="202"/>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03" w:name="_Toc4996"/>
            <w:bookmarkStart w:id="204" w:name="_Toc17489"/>
            <w:r>
              <w:rPr>
                <w:rFonts w:cs="Times New Roman" w:eastAsiaTheme="minorEastAsia"/>
                <w:b w:val="0"/>
                <w:bCs/>
                <w:szCs w:val="21"/>
              </w:rPr>
              <w:t>已检定</w:t>
            </w:r>
            <w:bookmarkEnd w:id="203"/>
            <w:bookmarkEnd w:id="204"/>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05" w:name="_Toc2339"/>
            <w:bookmarkStart w:id="206" w:name="_Toc21633"/>
            <w:r>
              <w:rPr>
                <w:rFonts w:cs="Times New Roman" w:eastAsiaTheme="minorEastAsia"/>
                <w:b w:val="0"/>
                <w:bCs/>
                <w:szCs w:val="21"/>
              </w:rPr>
              <w:t>气相色谱仪Ⅱ Q</w:t>
            </w:r>
            <w:bookmarkEnd w:id="205"/>
            <w:bookmarkEnd w:id="206"/>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07" w:name="_Toc29294"/>
            <w:bookmarkStart w:id="208" w:name="_Toc28812"/>
            <w:r>
              <w:rPr>
                <w:rFonts w:cs="Times New Roman" w:eastAsiaTheme="minorEastAsia"/>
                <w:b w:val="0"/>
                <w:bCs/>
                <w:szCs w:val="21"/>
              </w:rPr>
              <w:t>GC9790Ⅱ-Q</w:t>
            </w:r>
            <w:bookmarkEnd w:id="207"/>
            <w:bookmarkEnd w:id="208"/>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09" w:name="_Toc10221"/>
            <w:bookmarkStart w:id="210" w:name="_Toc1579"/>
            <w:r>
              <w:rPr>
                <w:rFonts w:cs="Times New Roman" w:eastAsiaTheme="minorEastAsia"/>
                <w:b w:val="0"/>
                <w:bCs/>
                <w:szCs w:val="21"/>
              </w:rPr>
              <w:t>NVTT-YQ-0074</w:t>
            </w:r>
            <w:bookmarkEnd w:id="209"/>
            <w:bookmarkEnd w:id="210"/>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11" w:name="_Toc977"/>
            <w:bookmarkStart w:id="212" w:name="_Toc22895"/>
            <w:r>
              <w:rPr>
                <w:rFonts w:cs="Times New Roman" w:eastAsiaTheme="minorEastAsia"/>
                <w:b w:val="0"/>
                <w:bCs/>
                <w:szCs w:val="21"/>
              </w:rPr>
              <w:t>已检定</w:t>
            </w:r>
            <w:bookmarkEnd w:id="211"/>
            <w:bookmarkEnd w:id="212"/>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13" w:name="_Toc15471"/>
            <w:bookmarkStart w:id="214" w:name="_Toc31791"/>
            <w:r>
              <w:rPr>
                <w:rFonts w:cs="Times New Roman" w:eastAsiaTheme="minorEastAsia"/>
                <w:b w:val="0"/>
                <w:bCs/>
                <w:szCs w:val="21"/>
              </w:rPr>
              <w:t>气相色谱-质谱联用仪</w:t>
            </w:r>
            <w:bookmarkEnd w:id="213"/>
            <w:bookmarkEnd w:id="214"/>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15" w:name="_Toc29563"/>
            <w:bookmarkStart w:id="216" w:name="_Toc10595"/>
            <w:r>
              <w:rPr>
                <w:rFonts w:cs="Times New Roman" w:eastAsiaTheme="minorEastAsia"/>
                <w:b w:val="0"/>
                <w:bCs/>
                <w:szCs w:val="21"/>
              </w:rPr>
              <w:t>GCMS-QP2010</w:t>
            </w:r>
            <w:bookmarkEnd w:id="215"/>
            <w:bookmarkEnd w:id="216"/>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17" w:name="_Toc3935"/>
            <w:bookmarkStart w:id="218" w:name="_Toc27403"/>
            <w:r>
              <w:rPr>
                <w:rFonts w:cs="Times New Roman" w:eastAsiaTheme="minorEastAsia"/>
                <w:b w:val="0"/>
                <w:bCs/>
                <w:szCs w:val="21"/>
              </w:rPr>
              <w:t>NVTT-YQ-0152</w:t>
            </w:r>
            <w:bookmarkEnd w:id="217"/>
            <w:bookmarkEnd w:id="218"/>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19" w:name="_Toc26039"/>
            <w:bookmarkStart w:id="220" w:name="_Toc5388"/>
            <w:r>
              <w:rPr>
                <w:rFonts w:cs="Times New Roman" w:eastAsiaTheme="minorEastAsia"/>
                <w:b w:val="0"/>
                <w:bCs/>
                <w:szCs w:val="21"/>
              </w:rPr>
              <w:t>已检定</w:t>
            </w:r>
            <w:bookmarkEnd w:id="219"/>
            <w:bookmarkEnd w:id="220"/>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21" w:name="_Toc7147"/>
            <w:bookmarkStart w:id="222" w:name="_Toc27452"/>
            <w:r>
              <w:rPr>
                <w:rFonts w:cs="Times New Roman" w:eastAsiaTheme="minorEastAsia"/>
                <w:b w:val="0"/>
                <w:bCs/>
                <w:szCs w:val="21"/>
              </w:rPr>
              <w:t>安捷伦气相色谱</w:t>
            </w:r>
            <w:bookmarkEnd w:id="221"/>
            <w:bookmarkEnd w:id="222"/>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23" w:name="_Toc5064"/>
            <w:bookmarkStart w:id="224" w:name="_Toc7363"/>
            <w:r>
              <w:rPr>
                <w:rFonts w:cs="Times New Roman" w:eastAsiaTheme="minorEastAsia"/>
                <w:b w:val="0"/>
                <w:bCs/>
                <w:szCs w:val="21"/>
              </w:rPr>
              <w:t>6890N</w:t>
            </w:r>
            <w:bookmarkEnd w:id="223"/>
            <w:bookmarkEnd w:id="224"/>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25" w:name="_Toc18996"/>
            <w:bookmarkStart w:id="226" w:name="_Toc6621"/>
            <w:r>
              <w:rPr>
                <w:rFonts w:cs="Times New Roman" w:eastAsiaTheme="minorEastAsia"/>
                <w:b w:val="0"/>
                <w:bCs/>
                <w:szCs w:val="21"/>
              </w:rPr>
              <w:t>NVTT-YQ-0225</w:t>
            </w:r>
            <w:bookmarkEnd w:id="225"/>
            <w:bookmarkEnd w:id="226"/>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27" w:name="_Toc9645"/>
            <w:bookmarkStart w:id="228" w:name="_Toc17049"/>
            <w:r>
              <w:rPr>
                <w:rFonts w:cs="Times New Roman" w:eastAsiaTheme="minorEastAsia"/>
                <w:b w:val="0"/>
                <w:bCs/>
                <w:szCs w:val="21"/>
              </w:rPr>
              <w:t>已检定</w:t>
            </w:r>
            <w:bookmarkEnd w:id="227"/>
            <w:bookmarkEnd w:id="228"/>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29" w:name="_Toc25945"/>
            <w:r>
              <w:rPr>
                <w:rFonts w:hint="eastAsia" w:cs="Times New Roman" w:eastAsiaTheme="minorEastAsia"/>
                <w:b w:val="0"/>
                <w:bCs/>
                <w:szCs w:val="21"/>
              </w:rPr>
              <w:t>电子分析天平</w:t>
            </w:r>
            <w:bookmarkEnd w:id="229"/>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0" w:name="_Toc31870"/>
            <w:r>
              <w:rPr>
                <w:rFonts w:hint="eastAsia" w:cs="Times New Roman" w:eastAsiaTheme="minorEastAsia"/>
                <w:b w:val="0"/>
                <w:bCs/>
                <w:szCs w:val="21"/>
              </w:rPr>
              <w:t>AL204</w:t>
            </w:r>
            <w:bookmarkEnd w:id="230"/>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1" w:name="_Toc3927"/>
            <w:r>
              <w:rPr>
                <w:rFonts w:cs="Times New Roman" w:eastAsiaTheme="minorEastAsia"/>
                <w:b w:val="0"/>
                <w:bCs/>
                <w:szCs w:val="21"/>
              </w:rPr>
              <w:t>NVTT-YQ</w:t>
            </w:r>
            <w:r>
              <w:rPr>
                <w:rFonts w:hint="eastAsia" w:cs="Times New Roman" w:eastAsiaTheme="minorEastAsia"/>
                <w:b w:val="0"/>
                <w:bCs/>
                <w:szCs w:val="21"/>
              </w:rPr>
              <w:t>-0011</w:t>
            </w:r>
            <w:bookmarkEnd w:id="231"/>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2" w:name="_Toc2725"/>
            <w:r>
              <w:rPr>
                <w:rFonts w:hint="eastAsia" w:cs="Times New Roman" w:eastAsiaTheme="minorEastAsia"/>
                <w:b w:val="0"/>
                <w:bCs/>
                <w:szCs w:val="21"/>
              </w:rPr>
              <w:t>已检定</w:t>
            </w:r>
            <w:bookmarkEnd w:id="232"/>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r>
              <w:rPr>
                <w:rFonts w:hint="eastAsia" w:cs="Times New Roman" w:eastAsiaTheme="minorEastAsia"/>
                <w:b w:val="0"/>
                <w:bCs/>
                <w:szCs w:val="21"/>
              </w:rPr>
              <w:t>智能烟尘烟气分析仪</w:t>
            </w:r>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r>
              <w:rPr>
                <w:rFonts w:hint="eastAsia" w:cs="Times New Roman" w:eastAsiaTheme="minorEastAsia"/>
                <w:b w:val="0"/>
                <w:bCs/>
                <w:szCs w:val="21"/>
              </w:rPr>
              <w:t>EM-3088</w:t>
            </w:r>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r>
              <w:rPr>
                <w:rFonts w:cs="Times New Roman" w:eastAsiaTheme="minorEastAsia"/>
                <w:b w:val="0"/>
                <w:bCs/>
                <w:szCs w:val="21"/>
              </w:rPr>
              <w:t>NVTT-YQ</w:t>
            </w:r>
            <w:r>
              <w:rPr>
                <w:rFonts w:hint="eastAsia" w:cs="Times New Roman" w:eastAsiaTheme="minorEastAsia"/>
                <w:b w:val="0"/>
                <w:bCs/>
                <w:szCs w:val="21"/>
              </w:rPr>
              <w:t>-0327</w:t>
            </w:r>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r>
              <w:rPr>
                <w:rFonts w:hint="eastAsia" w:cs="Times New Roman" w:eastAsiaTheme="minorEastAsia"/>
                <w:b w:val="0"/>
                <w:bCs/>
                <w:szCs w:val="21"/>
              </w:rPr>
              <w:t>已检定</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restart"/>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3" w:name="_Toc1822"/>
            <w:bookmarkStart w:id="234" w:name="_Toc4178"/>
            <w:r>
              <w:rPr>
                <w:rFonts w:cs="Times New Roman" w:eastAsiaTheme="minorEastAsia"/>
                <w:b w:val="0"/>
                <w:bCs/>
                <w:szCs w:val="21"/>
              </w:rPr>
              <w:t>废水</w:t>
            </w:r>
            <w:bookmarkEnd w:id="233"/>
            <w:bookmarkEnd w:id="234"/>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5" w:name="_Toc26809"/>
            <w:bookmarkStart w:id="236" w:name="_Toc8154"/>
            <w:r>
              <w:rPr>
                <w:rFonts w:cs="Times New Roman" w:eastAsiaTheme="minorEastAsia"/>
                <w:b w:val="0"/>
                <w:bCs/>
                <w:szCs w:val="21"/>
              </w:rPr>
              <w:t>水质检测仪</w:t>
            </w:r>
            <w:bookmarkEnd w:id="235"/>
            <w:bookmarkEnd w:id="236"/>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7" w:name="_Toc6209"/>
            <w:bookmarkStart w:id="238" w:name="_Toc21961"/>
            <w:r>
              <w:rPr>
                <w:rFonts w:cs="Times New Roman" w:eastAsiaTheme="minorEastAsia"/>
                <w:b w:val="0"/>
                <w:bCs/>
                <w:szCs w:val="21"/>
              </w:rPr>
              <w:t>AZ8603</w:t>
            </w:r>
            <w:bookmarkEnd w:id="237"/>
            <w:bookmarkEnd w:id="238"/>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39" w:name="_Toc19861"/>
            <w:bookmarkStart w:id="240" w:name="_Toc16462"/>
            <w:r>
              <w:rPr>
                <w:rFonts w:cs="Times New Roman" w:eastAsiaTheme="minorEastAsia"/>
                <w:b w:val="0"/>
                <w:bCs/>
                <w:szCs w:val="21"/>
              </w:rPr>
              <w:t>NVTT-YQ-0293</w:t>
            </w:r>
            <w:bookmarkEnd w:id="239"/>
            <w:bookmarkEnd w:id="240"/>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41" w:name="_Toc18731"/>
            <w:bookmarkStart w:id="242" w:name="_Toc984"/>
            <w:r>
              <w:rPr>
                <w:rFonts w:cs="Times New Roman" w:eastAsiaTheme="minorEastAsia"/>
                <w:b w:val="0"/>
                <w:bCs/>
                <w:szCs w:val="21"/>
              </w:rPr>
              <w:t>已检定</w:t>
            </w:r>
            <w:bookmarkEnd w:id="241"/>
            <w:bookmarkEnd w:id="242"/>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43" w:name="_Toc31931"/>
            <w:bookmarkStart w:id="244" w:name="_Toc2247"/>
            <w:r>
              <w:rPr>
                <w:rFonts w:cs="Times New Roman" w:eastAsiaTheme="minorEastAsia"/>
                <w:b w:val="0"/>
                <w:bCs/>
                <w:szCs w:val="21"/>
              </w:rPr>
              <w:t>电子分析天平</w:t>
            </w:r>
            <w:bookmarkEnd w:id="243"/>
            <w:bookmarkEnd w:id="244"/>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45" w:name="_Toc16582"/>
            <w:bookmarkStart w:id="246" w:name="_Toc17409"/>
            <w:r>
              <w:rPr>
                <w:rFonts w:cs="Times New Roman" w:eastAsiaTheme="minorEastAsia"/>
                <w:b w:val="0"/>
                <w:bCs/>
                <w:szCs w:val="21"/>
              </w:rPr>
              <w:t>AL204</w:t>
            </w:r>
            <w:bookmarkEnd w:id="245"/>
            <w:bookmarkEnd w:id="246"/>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47" w:name="_Toc19093"/>
            <w:bookmarkStart w:id="248" w:name="_Toc8955"/>
            <w:r>
              <w:rPr>
                <w:rFonts w:cs="Times New Roman" w:eastAsiaTheme="minorEastAsia"/>
                <w:b w:val="0"/>
                <w:bCs/>
                <w:szCs w:val="21"/>
              </w:rPr>
              <w:t>NVTT-YQ-0011</w:t>
            </w:r>
            <w:bookmarkEnd w:id="247"/>
            <w:bookmarkEnd w:id="248"/>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49" w:name="_Toc17716"/>
            <w:bookmarkStart w:id="250" w:name="_Toc6044"/>
            <w:r>
              <w:rPr>
                <w:rFonts w:cs="Times New Roman" w:eastAsiaTheme="minorEastAsia"/>
                <w:b w:val="0"/>
                <w:bCs/>
                <w:szCs w:val="21"/>
              </w:rPr>
              <w:t>已检定</w:t>
            </w:r>
            <w:bookmarkEnd w:id="249"/>
            <w:bookmarkEnd w:id="250"/>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51" w:name="_Toc17639"/>
            <w:bookmarkStart w:id="252" w:name="_Toc13629"/>
            <w:r>
              <w:rPr>
                <w:rFonts w:cs="Times New Roman" w:eastAsiaTheme="minorEastAsia"/>
                <w:b w:val="0"/>
                <w:bCs/>
                <w:szCs w:val="21"/>
              </w:rPr>
              <w:t>COD恒温加热器</w:t>
            </w:r>
            <w:bookmarkEnd w:id="251"/>
            <w:bookmarkEnd w:id="252"/>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53" w:name="_Toc6460"/>
            <w:bookmarkStart w:id="254" w:name="_Toc4105"/>
            <w:r>
              <w:rPr>
                <w:rFonts w:cs="Times New Roman" w:eastAsiaTheme="minorEastAsia"/>
                <w:b w:val="0"/>
                <w:bCs/>
                <w:szCs w:val="21"/>
              </w:rPr>
              <w:t>JH-12</w:t>
            </w:r>
            <w:bookmarkEnd w:id="253"/>
            <w:bookmarkEnd w:id="254"/>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55" w:name="_Toc17698"/>
            <w:bookmarkStart w:id="256" w:name="_Toc26701"/>
            <w:r>
              <w:rPr>
                <w:rFonts w:cs="Times New Roman" w:eastAsiaTheme="minorEastAsia"/>
                <w:b w:val="0"/>
                <w:bCs/>
                <w:szCs w:val="21"/>
              </w:rPr>
              <w:t>NVTT-YQ-0121</w:t>
            </w:r>
            <w:bookmarkEnd w:id="255"/>
            <w:bookmarkEnd w:id="256"/>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57" w:name="_Toc17102"/>
            <w:bookmarkStart w:id="258" w:name="_Toc13536"/>
            <w:r>
              <w:rPr>
                <w:rFonts w:cs="Times New Roman" w:eastAsiaTheme="minorEastAsia"/>
                <w:b w:val="0"/>
                <w:bCs/>
                <w:szCs w:val="21"/>
              </w:rPr>
              <w:t>已检定</w:t>
            </w:r>
            <w:bookmarkEnd w:id="257"/>
            <w:bookmarkEnd w:id="258"/>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59" w:name="_Toc24835"/>
            <w:bookmarkStart w:id="260" w:name="_Toc4497"/>
            <w:r>
              <w:rPr>
                <w:rFonts w:cs="Times New Roman" w:eastAsiaTheme="minorEastAsia"/>
                <w:b w:val="0"/>
                <w:bCs/>
                <w:szCs w:val="21"/>
              </w:rPr>
              <w:t>紫外可见光分光光度计</w:t>
            </w:r>
            <w:bookmarkEnd w:id="259"/>
            <w:bookmarkEnd w:id="260"/>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61" w:name="_Toc12768"/>
            <w:bookmarkStart w:id="262" w:name="_Toc10610"/>
            <w:r>
              <w:rPr>
                <w:rFonts w:cs="Times New Roman" w:eastAsiaTheme="minorEastAsia"/>
                <w:b w:val="0"/>
                <w:bCs/>
                <w:szCs w:val="21"/>
              </w:rPr>
              <w:t>TU-1810PC</w:t>
            </w:r>
            <w:bookmarkEnd w:id="261"/>
            <w:bookmarkEnd w:id="262"/>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63" w:name="_Toc16221"/>
            <w:bookmarkStart w:id="264" w:name="_Toc8786"/>
            <w:r>
              <w:rPr>
                <w:rFonts w:cs="Times New Roman" w:eastAsiaTheme="minorEastAsia"/>
                <w:b w:val="0"/>
                <w:bCs/>
                <w:szCs w:val="21"/>
              </w:rPr>
              <w:t>NVTT-YQ-0008</w:t>
            </w:r>
            <w:bookmarkEnd w:id="263"/>
            <w:bookmarkEnd w:id="264"/>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65" w:name="_Toc20247"/>
            <w:bookmarkStart w:id="266" w:name="_Toc22299"/>
            <w:r>
              <w:rPr>
                <w:rFonts w:cs="Times New Roman" w:eastAsiaTheme="minorEastAsia"/>
                <w:b w:val="0"/>
                <w:bCs/>
                <w:szCs w:val="21"/>
              </w:rPr>
              <w:t>已检定</w:t>
            </w:r>
            <w:bookmarkEnd w:id="265"/>
            <w:bookmarkEnd w:id="266"/>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vMerge w:val="continue"/>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67" w:name="_Toc22707"/>
            <w:bookmarkStart w:id="268" w:name="_Toc11524"/>
            <w:r>
              <w:rPr>
                <w:rFonts w:cs="Times New Roman" w:eastAsiaTheme="minorEastAsia"/>
                <w:b w:val="0"/>
                <w:bCs/>
                <w:szCs w:val="21"/>
              </w:rPr>
              <w:t>红外分光测油仪</w:t>
            </w:r>
            <w:bookmarkEnd w:id="267"/>
            <w:bookmarkEnd w:id="268"/>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69" w:name="_Toc14722"/>
            <w:bookmarkStart w:id="270" w:name="_Toc2782"/>
            <w:r>
              <w:rPr>
                <w:rFonts w:cs="Times New Roman" w:eastAsiaTheme="minorEastAsia"/>
                <w:b w:val="0"/>
                <w:bCs/>
                <w:szCs w:val="21"/>
              </w:rPr>
              <w:t>JLBG-125</w:t>
            </w:r>
            <w:bookmarkEnd w:id="269"/>
            <w:bookmarkEnd w:id="270"/>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71" w:name="_Toc22012"/>
            <w:bookmarkStart w:id="272" w:name="_Toc28067"/>
            <w:r>
              <w:rPr>
                <w:rFonts w:cs="Times New Roman" w:eastAsiaTheme="minorEastAsia"/>
                <w:b w:val="0"/>
                <w:bCs/>
                <w:szCs w:val="21"/>
              </w:rPr>
              <w:t>NVTT-YQ-0004</w:t>
            </w:r>
            <w:bookmarkEnd w:id="271"/>
            <w:bookmarkEnd w:id="272"/>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73" w:name="_Toc13512"/>
            <w:bookmarkStart w:id="274" w:name="_Toc26315"/>
            <w:r>
              <w:rPr>
                <w:rFonts w:cs="Times New Roman" w:eastAsiaTheme="minorEastAsia"/>
                <w:b w:val="0"/>
                <w:bCs/>
                <w:szCs w:val="21"/>
              </w:rPr>
              <w:t>已检定</w:t>
            </w:r>
            <w:bookmarkEnd w:id="273"/>
            <w:bookmarkEnd w:id="274"/>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74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75" w:name="_Toc26855"/>
            <w:bookmarkStart w:id="276" w:name="_Toc5021"/>
            <w:r>
              <w:rPr>
                <w:rFonts w:cs="Times New Roman" w:eastAsiaTheme="minorEastAsia"/>
                <w:b w:val="0"/>
                <w:bCs/>
                <w:szCs w:val="21"/>
              </w:rPr>
              <w:t>噪声</w:t>
            </w:r>
            <w:bookmarkEnd w:id="275"/>
            <w:bookmarkEnd w:id="276"/>
          </w:p>
        </w:tc>
        <w:tc>
          <w:tcPr>
            <w:tcW w:w="26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77" w:name="_Toc3640"/>
            <w:bookmarkStart w:id="278" w:name="_Toc21361"/>
            <w:r>
              <w:rPr>
                <w:rFonts w:cs="Times New Roman" w:eastAsiaTheme="minorEastAsia"/>
                <w:b w:val="0"/>
                <w:bCs/>
                <w:szCs w:val="21"/>
              </w:rPr>
              <w:t>多功能声级计</w:t>
            </w:r>
            <w:bookmarkEnd w:id="277"/>
            <w:bookmarkEnd w:id="278"/>
          </w:p>
        </w:tc>
        <w:tc>
          <w:tcPr>
            <w:tcW w:w="1854"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79" w:name="_Toc32095"/>
            <w:bookmarkStart w:id="280" w:name="_Toc21970"/>
            <w:r>
              <w:rPr>
                <w:rFonts w:cs="Times New Roman" w:eastAsiaTheme="minorEastAsia"/>
                <w:b w:val="0"/>
                <w:bCs/>
                <w:szCs w:val="21"/>
              </w:rPr>
              <w:t>AWA</w:t>
            </w:r>
            <w:bookmarkEnd w:id="279"/>
            <w:r>
              <w:rPr>
                <w:rFonts w:hint="eastAsia" w:cs="Times New Roman" w:eastAsiaTheme="minorEastAsia"/>
                <w:b w:val="0"/>
                <w:bCs/>
                <w:szCs w:val="21"/>
              </w:rPr>
              <w:t>5688</w:t>
            </w:r>
            <w:bookmarkEnd w:id="280"/>
          </w:p>
        </w:tc>
        <w:tc>
          <w:tcPr>
            <w:tcW w:w="1923"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81" w:name="_Toc11379"/>
            <w:bookmarkStart w:id="282" w:name="_Toc17571"/>
            <w:r>
              <w:rPr>
                <w:rFonts w:cs="Times New Roman" w:eastAsiaTheme="minorEastAsia"/>
                <w:b w:val="0"/>
                <w:bCs/>
                <w:szCs w:val="21"/>
              </w:rPr>
              <w:t>NVTT-YQ-</w:t>
            </w:r>
            <w:bookmarkEnd w:id="281"/>
            <w:r>
              <w:rPr>
                <w:rFonts w:hint="eastAsia" w:cs="Times New Roman" w:eastAsiaTheme="minorEastAsia"/>
                <w:b w:val="0"/>
                <w:bCs/>
                <w:szCs w:val="21"/>
              </w:rPr>
              <w:t>0243</w:t>
            </w:r>
            <w:bookmarkEnd w:id="282"/>
          </w:p>
        </w:tc>
        <w:tc>
          <w:tcPr>
            <w:tcW w:w="1759"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center"/>
              <w:textAlignment w:val="auto"/>
              <w:outlineLvl w:val="9"/>
              <w:rPr>
                <w:rFonts w:cs="Times New Roman" w:eastAsiaTheme="minorEastAsia"/>
                <w:b w:val="0"/>
                <w:bCs/>
                <w:szCs w:val="21"/>
              </w:rPr>
            </w:pPr>
            <w:bookmarkStart w:id="283" w:name="_Toc7502"/>
            <w:bookmarkStart w:id="284" w:name="_Toc8833"/>
            <w:r>
              <w:rPr>
                <w:rFonts w:cs="Times New Roman" w:eastAsiaTheme="minorEastAsia"/>
                <w:b w:val="0"/>
                <w:bCs/>
                <w:szCs w:val="21"/>
              </w:rPr>
              <w:t>已检定</w:t>
            </w:r>
            <w:bookmarkEnd w:id="283"/>
            <w:bookmarkEnd w:id="284"/>
          </w:p>
        </w:tc>
      </w:tr>
    </w:tbl>
    <w:p/>
    <w:bookmarkEnd w:id="180"/>
    <w:bookmarkEnd w:id="181"/>
    <w:bookmarkEnd w:id="182"/>
    <w:p>
      <w:pPr>
        <w:pStyle w:val="4"/>
        <w:widowControl/>
        <w:rPr>
          <w:rFonts w:ascii="Times New Roman" w:hAnsi="Times New Roman" w:cs="Times New Roman" w:eastAsiaTheme="minorEastAsia"/>
          <w:bCs/>
          <w:sz w:val="24"/>
          <w:szCs w:val="24"/>
        </w:rPr>
      </w:pPr>
      <w:bookmarkStart w:id="285" w:name="_Toc6337"/>
      <w:bookmarkStart w:id="286" w:name="_Toc7128"/>
      <w:bookmarkStart w:id="287" w:name="_Toc21280"/>
      <w:bookmarkStart w:id="288" w:name="_Toc2625"/>
      <w:r>
        <w:rPr>
          <w:rFonts w:ascii="Times New Roman" w:hAnsi="Times New Roman" w:cs="Times New Roman" w:eastAsiaTheme="minorEastAsia"/>
          <w:bCs/>
          <w:sz w:val="24"/>
          <w:szCs w:val="24"/>
        </w:rPr>
        <w:t>8.3</w:t>
      </w:r>
      <w:bookmarkEnd w:id="285"/>
      <w:bookmarkEnd w:id="286"/>
      <w:bookmarkEnd w:id="287"/>
      <w:bookmarkStart w:id="289" w:name="_Toc28961"/>
      <w:bookmarkStart w:id="290" w:name="_Toc30139"/>
      <w:r>
        <w:rPr>
          <w:rFonts w:ascii="Times New Roman" w:hAnsi="Times New Roman" w:cs="Times New Roman" w:eastAsiaTheme="minorEastAsia"/>
          <w:bCs/>
          <w:sz w:val="24"/>
          <w:szCs w:val="24"/>
        </w:rPr>
        <w:t>废水监测分析过程中的质量保证和质量控制</w:t>
      </w:r>
      <w:bookmarkEnd w:id="288"/>
      <w:bookmarkEnd w:id="289"/>
      <w:bookmarkEnd w:id="290"/>
    </w:p>
    <w:p>
      <w:pPr>
        <w:pStyle w:val="6"/>
        <w:adjustRightInd w:val="0"/>
        <w:spacing w:line="360" w:lineRule="auto"/>
        <w:ind w:firstLine="480" w:firstLineChars="200"/>
        <w:textAlignment w:val="baseline"/>
        <w:rPr>
          <w:rFonts w:cs="Times New Roman"/>
          <w:sz w:val="24"/>
          <w:szCs w:val="24"/>
        </w:rPr>
      </w:pPr>
      <w:r>
        <w:rPr>
          <w:rFonts w:cs="Times New Roman"/>
          <w:color w:val="000000"/>
          <w:sz w:val="24"/>
          <w:szCs w:val="24"/>
        </w:rPr>
        <w:t>水样的采集、运输、保存、实验室分析和数据计算全程按照《地表水和污水监测技术规范》(HJ/T91-2002)、《固定污染源监测质量保证与质量控制技术规范(试行)》(HJ/T373-2007)以及各</w:t>
      </w:r>
      <w:r>
        <w:rPr>
          <w:rFonts w:cs="Times New Roman"/>
          <w:sz w:val="24"/>
          <w:szCs w:val="24"/>
        </w:rPr>
        <w:t>监测项目标准分析方法规定的质量控制要求。</w:t>
      </w:r>
    </w:p>
    <w:p>
      <w:pPr>
        <w:pStyle w:val="4"/>
        <w:widowControl/>
        <w:rPr>
          <w:rFonts w:ascii="Times New Roman" w:hAnsi="Times New Roman" w:cs="Times New Roman" w:eastAsiaTheme="minorEastAsia"/>
          <w:bCs/>
          <w:sz w:val="24"/>
          <w:szCs w:val="24"/>
        </w:rPr>
      </w:pPr>
      <w:bookmarkStart w:id="291" w:name="_Toc4655"/>
      <w:bookmarkStart w:id="292" w:name="_Toc12509"/>
      <w:bookmarkStart w:id="293" w:name="_Toc16282"/>
      <w:bookmarkStart w:id="294" w:name="_Toc11235"/>
      <w:r>
        <w:rPr>
          <w:rFonts w:ascii="Times New Roman" w:hAnsi="Times New Roman" w:cs="Times New Roman" w:eastAsiaTheme="minorEastAsia"/>
          <w:bCs/>
          <w:sz w:val="24"/>
          <w:szCs w:val="24"/>
        </w:rPr>
        <w:t>8.4废气监测分析过程中的质量保证和质量控制</w:t>
      </w:r>
      <w:bookmarkEnd w:id="291"/>
      <w:bookmarkEnd w:id="292"/>
      <w:bookmarkEnd w:id="293"/>
      <w:bookmarkEnd w:id="294"/>
    </w:p>
    <w:p>
      <w:pPr>
        <w:spacing w:line="360" w:lineRule="auto"/>
        <w:ind w:firstLine="480" w:firstLineChars="200"/>
        <w:rPr>
          <w:rFonts w:ascii="Times New Roman" w:hAnsi="Times New Roman" w:cs="Times New Roman"/>
          <w:sz w:val="24"/>
        </w:rPr>
      </w:pPr>
      <w:r>
        <w:rPr>
          <w:rFonts w:ascii="Times New Roman" w:hAnsi="Times New Roman" w:cs="Times New Roman"/>
          <w:sz w:val="24"/>
        </w:rPr>
        <w:t>废气验收监测质量控制与质量保证按照《固定源废气监测技术规范》(HJ/T397-2007)、《</w:t>
      </w:r>
      <w:r>
        <w:rPr>
          <w:rFonts w:ascii="Times New Roman" w:hAnsi="Times New Roman" w:cs="Times New Roman"/>
          <w:bCs/>
          <w:sz w:val="24"/>
        </w:rPr>
        <w:t>固定污染源监测质量保证与质量控制技术规范(试行)</w:t>
      </w:r>
      <w:r>
        <w:rPr>
          <w:rFonts w:ascii="Times New Roman" w:hAnsi="Times New Roman" w:cs="Times New Roman"/>
          <w:sz w:val="24"/>
        </w:rPr>
        <w:t>》(HJ/T373-2007)和《大气污染物无组织排放监测技术导则》(HJ/T55-2000)中有关规定执行。</w:t>
      </w:r>
    </w:p>
    <w:p>
      <w:pPr>
        <w:pStyle w:val="4"/>
        <w:widowControl/>
        <w:rPr>
          <w:rFonts w:ascii="Times New Roman" w:hAnsi="Times New Roman" w:cs="Times New Roman" w:eastAsiaTheme="minorEastAsia"/>
          <w:bCs/>
          <w:sz w:val="24"/>
          <w:szCs w:val="24"/>
        </w:rPr>
      </w:pPr>
      <w:bookmarkStart w:id="295" w:name="_Toc9158"/>
      <w:bookmarkStart w:id="296" w:name="_Toc11316"/>
      <w:bookmarkStart w:id="297" w:name="_Toc2821"/>
      <w:bookmarkStart w:id="298" w:name="_Toc16720"/>
      <w:r>
        <w:rPr>
          <w:rFonts w:ascii="Times New Roman" w:hAnsi="Times New Roman" w:cs="Times New Roman" w:eastAsiaTheme="minorEastAsia"/>
          <w:bCs/>
          <w:sz w:val="24"/>
          <w:szCs w:val="24"/>
        </w:rPr>
        <w:t>8.5噪声监测过程中的质量保证和质量控制</w:t>
      </w:r>
      <w:bookmarkEnd w:id="295"/>
      <w:bookmarkEnd w:id="296"/>
      <w:bookmarkEnd w:id="297"/>
      <w:bookmarkEnd w:id="298"/>
    </w:p>
    <w:p>
      <w:pPr>
        <w:spacing w:line="360" w:lineRule="auto"/>
        <w:ind w:firstLine="480" w:firstLineChars="200"/>
        <w:rPr>
          <w:rFonts w:ascii="Times New Roman" w:hAnsi="Times New Roman" w:cs="Times New Roman"/>
          <w:b/>
          <w:bCs/>
          <w:szCs w:val="21"/>
        </w:rPr>
      </w:pPr>
      <w:r>
        <w:rPr>
          <w:rFonts w:ascii="Times New Roman" w:hAnsi="Times New Roman" w:cs="Times New Roman"/>
          <w:sz w:val="24"/>
        </w:rPr>
        <w:t>为保证厂界噪声监测过程的质量，噪声监测布点、测量方法及频次按照工业企业厂界环境噪声排放标准（GB12348-2008）执行。监测时使用经计量部门检定、并在有效使用期内的声级计；声级计在测试前后用标准发生源（93.9dB）进行校准，测量前后仪器的灵敏度相差不大于0.5 dB，详见表8-3。</w:t>
      </w:r>
    </w:p>
    <w:p>
      <w:pPr>
        <w:pStyle w:val="7"/>
        <w:bidi w:val="0"/>
      </w:pPr>
      <w:r>
        <w:t>表</w:t>
      </w:r>
      <w:r>
        <w:rPr>
          <w:rFonts w:hint="eastAsia"/>
          <w:lang w:eastAsia="zh-CN"/>
        </w:rPr>
        <w:t>8-3</w:t>
      </w:r>
      <w:r>
        <w:rPr>
          <w:rFonts w:hint="eastAsia"/>
          <w:lang w:val="en-US" w:eastAsia="zh-CN"/>
        </w:rPr>
        <w:t xml:space="preserve">  </w:t>
      </w:r>
      <w:r>
        <w:rPr>
          <w:rFonts w:hint="eastAsia"/>
          <w:lang w:eastAsia="zh-CN"/>
        </w:rPr>
        <w:t>声级计校准结果</w:t>
      </w:r>
    </w:p>
    <w:tbl>
      <w:tblPr>
        <w:tblStyle w:val="24"/>
        <w:tblW w:w="9174"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58"/>
        <w:gridCol w:w="1515"/>
        <w:gridCol w:w="1332"/>
        <w:gridCol w:w="1850"/>
        <w:gridCol w:w="1710"/>
        <w:gridCol w:w="1709"/>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58" w:type="dxa"/>
            <w:tcBorders>
              <w:tl2br w:val="nil"/>
              <w:tr2bl w:val="nil"/>
            </w:tcBorders>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项目</w:t>
            </w:r>
          </w:p>
        </w:tc>
        <w:tc>
          <w:tcPr>
            <w:tcW w:w="2847" w:type="dxa"/>
            <w:gridSpan w:val="2"/>
            <w:tcBorders>
              <w:tl2br w:val="nil"/>
              <w:tr2bl w:val="nil"/>
            </w:tcBorders>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监测时间</w:t>
            </w:r>
          </w:p>
        </w:tc>
        <w:tc>
          <w:tcPr>
            <w:tcW w:w="1850" w:type="dxa"/>
            <w:tcBorders>
              <w:tl2br w:val="nil"/>
              <w:tr2bl w:val="nil"/>
            </w:tcBorders>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声校准器</w:t>
            </w:r>
          </w:p>
        </w:tc>
        <w:tc>
          <w:tcPr>
            <w:tcW w:w="1710" w:type="dxa"/>
            <w:tcBorders>
              <w:tl2br w:val="nil"/>
              <w:tr2bl w:val="nil"/>
            </w:tcBorders>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监测前校准值dB（A）</w:t>
            </w:r>
          </w:p>
        </w:tc>
        <w:tc>
          <w:tcPr>
            <w:tcW w:w="1709" w:type="dxa"/>
            <w:tcBorders>
              <w:tl2br w:val="nil"/>
              <w:tr2bl w:val="nil"/>
            </w:tcBorders>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监测后校准值dB（A）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58" w:type="dxa"/>
            <w:vMerge w:val="restart"/>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厂界</w:t>
            </w:r>
          </w:p>
          <w:p>
            <w:pPr>
              <w:widowControl/>
              <w:jc w:val="center"/>
              <w:textAlignment w:val="center"/>
              <w:rPr>
                <w:rFonts w:ascii="Times New Roman" w:hAnsi="Times New Roman" w:cs="Times New Roman"/>
                <w:szCs w:val="21"/>
              </w:rPr>
            </w:pPr>
            <w:r>
              <w:rPr>
                <w:rFonts w:ascii="Times New Roman" w:hAnsi="Times New Roman" w:cs="Times New Roman"/>
                <w:szCs w:val="21"/>
              </w:rPr>
              <w:t>噪声</w:t>
            </w:r>
          </w:p>
        </w:tc>
        <w:tc>
          <w:tcPr>
            <w:tcW w:w="1515"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pacing w:val="-10"/>
                <w:szCs w:val="21"/>
              </w:rPr>
              <w:t>201</w:t>
            </w:r>
            <w:r>
              <w:rPr>
                <w:rFonts w:hint="eastAsia" w:ascii="Times New Roman" w:hAnsi="Times New Roman" w:cs="Times New Roman"/>
                <w:spacing w:val="-10"/>
                <w:szCs w:val="21"/>
              </w:rPr>
              <w:t>9.3.21</w:t>
            </w:r>
          </w:p>
        </w:tc>
        <w:tc>
          <w:tcPr>
            <w:tcW w:w="1332"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昼间</w:t>
            </w:r>
          </w:p>
        </w:tc>
        <w:tc>
          <w:tcPr>
            <w:tcW w:w="18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AWA</w:t>
            </w:r>
            <w:r>
              <w:rPr>
                <w:rFonts w:hint="eastAsia" w:ascii="Times New Roman" w:hAnsi="Times New Roman" w:cs="Times New Roman"/>
                <w:szCs w:val="21"/>
              </w:rPr>
              <w:t>5688</w:t>
            </w:r>
          </w:p>
        </w:tc>
        <w:tc>
          <w:tcPr>
            <w:tcW w:w="1710"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c>
          <w:tcPr>
            <w:tcW w:w="1709"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58" w:type="dxa"/>
            <w:vMerge w:val="continue"/>
            <w:tcBorders>
              <w:tl2br w:val="nil"/>
              <w:tr2bl w:val="nil"/>
            </w:tcBorders>
            <w:vAlign w:val="center"/>
          </w:tcPr>
          <w:p>
            <w:pPr>
              <w:widowControl/>
              <w:jc w:val="center"/>
              <w:textAlignment w:val="center"/>
              <w:rPr>
                <w:rFonts w:ascii="Times New Roman" w:hAnsi="Times New Roman" w:cs="Times New Roman"/>
                <w:szCs w:val="21"/>
              </w:rPr>
            </w:pPr>
          </w:p>
        </w:tc>
        <w:tc>
          <w:tcPr>
            <w:tcW w:w="1515" w:type="dxa"/>
            <w:vMerge w:val="continue"/>
            <w:tcBorders>
              <w:tl2br w:val="nil"/>
              <w:tr2bl w:val="nil"/>
            </w:tcBorders>
            <w:vAlign w:val="center"/>
          </w:tcPr>
          <w:p>
            <w:pPr>
              <w:adjustRightInd w:val="0"/>
              <w:snapToGrid w:val="0"/>
              <w:jc w:val="center"/>
              <w:rPr>
                <w:rFonts w:ascii="Times New Roman" w:hAnsi="Times New Roman" w:cs="Times New Roman"/>
                <w:spacing w:val="-10"/>
                <w:szCs w:val="21"/>
              </w:rPr>
            </w:pPr>
          </w:p>
        </w:tc>
        <w:tc>
          <w:tcPr>
            <w:tcW w:w="1332"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夜间</w:t>
            </w:r>
          </w:p>
        </w:tc>
        <w:tc>
          <w:tcPr>
            <w:tcW w:w="18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AWA</w:t>
            </w:r>
            <w:r>
              <w:rPr>
                <w:rFonts w:hint="eastAsia" w:ascii="Times New Roman" w:hAnsi="Times New Roman" w:cs="Times New Roman"/>
                <w:szCs w:val="21"/>
              </w:rPr>
              <w:t>5688</w:t>
            </w:r>
          </w:p>
        </w:tc>
        <w:tc>
          <w:tcPr>
            <w:tcW w:w="1710"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c>
          <w:tcPr>
            <w:tcW w:w="1709"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58" w:type="dxa"/>
            <w:vMerge w:val="continue"/>
            <w:tcBorders>
              <w:tl2br w:val="nil"/>
              <w:tr2bl w:val="nil"/>
            </w:tcBorders>
            <w:vAlign w:val="center"/>
          </w:tcPr>
          <w:p>
            <w:pPr>
              <w:widowControl/>
              <w:jc w:val="center"/>
              <w:textAlignment w:val="center"/>
              <w:rPr>
                <w:rFonts w:ascii="Times New Roman" w:hAnsi="Times New Roman" w:cs="Times New Roman"/>
                <w:szCs w:val="21"/>
              </w:rPr>
            </w:pPr>
          </w:p>
        </w:tc>
        <w:tc>
          <w:tcPr>
            <w:tcW w:w="1515"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pacing w:val="-10"/>
                <w:szCs w:val="21"/>
              </w:rPr>
              <w:t>2018</w:t>
            </w:r>
            <w:r>
              <w:rPr>
                <w:rFonts w:hint="eastAsia" w:ascii="Times New Roman" w:hAnsi="Times New Roman" w:cs="Times New Roman"/>
                <w:spacing w:val="-10"/>
                <w:szCs w:val="21"/>
              </w:rPr>
              <w:t>.3.22</w:t>
            </w:r>
          </w:p>
        </w:tc>
        <w:tc>
          <w:tcPr>
            <w:tcW w:w="1332"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昼间</w:t>
            </w:r>
          </w:p>
        </w:tc>
        <w:tc>
          <w:tcPr>
            <w:tcW w:w="18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AWA</w:t>
            </w:r>
            <w:r>
              <w:rPr>
                <w:rFonts w:hint="eastAsia" w:ascii="Times New Roman" w:hAnsi="Times New Roman" w:cs="Times New Roman"/>
                <w:szCs w:val="21"/>
              </w:rPr>
              <w:t>5688</w:t>
            </w:r>
          </w:p>
        </w:tc>
        <w:tc>
          <w:tcPr>
            <w:tcW w:w="1710"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c>
          <w:tcPr>
            <w:tcW w:w="1709"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58" w:type="dxa"/>
            <w:vMerge w:val="continue"/>
            <w:tcBorders>
              <w:tl2br w:val="nil"/>
              <w:tr2bl w:val="nil"/>
            </w:tcBorders>
            <w:vAlign w:val="center"/>
          </w:tcPr>
          <w:p>
            <w:pPr>
              <w:widowControl/>
              <w:jc w:val="center"/>
              <w:textAlignment w:val="center"/>
              <w:rPr>
                <w:rFonts w:ascii="Times New Roman" w:hAnsi="Times New Roman" w:cs="Times New Roman"/>
                <w:szCs w:val="21"/>
              </w:rPr>
            </w:pPr>
          </w:p>
        </w:tc>
        <w:tc>
          <w:tcPr>
            <w:tcW w:w="1515" w:type="dxa"/>
            <w:vMerge w:val="continue"/>
            <w:tcBorders>
              <w:tl2br w:val="nil"/>
              <w:tr2bl w:val="nil"/>
            </w:tcBorders>
            <w:vAlign w:val="center"/>
          </w:tcPr>
          <w:p>
            <w:pPr>
              <w:adjustRightInd w:val="0"/>
              <w:snapToGrid w:val="0"/>
              <w:jc w:val="center"/>
              <w:rPr>
                <w:rFonts w:ascii="Times New Roman" w:hAnsi="Times New Roman" w:cs="Times New Roman"/>
                <w:spacing w:val="-10"/>
                <w:szCs w:val="21"/>
              </w:rPr>
            </w:pPr>
          </w:p>
        </w:tc>
        <w:tc>
          <w:tcPr>
            <w:tcW w:w="1332"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夜间</w:t>
            </w:r>
          </w:p>
        </w:tc>
        <w:tc>
          <w:tcPr>
            <w:tcW w:w="18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AWA</w:t>
            </w:r>
            <w:r>
              <w:rPr>
                <w:rFonts w:hint="eastAsia" w:ascii="Times New Roman" w:hAnsi="Times New Roman" w:cs="Times New Roman"/>
                <w:szCs w:val="21"/>
              </w:rPr>
              <w:t>5688</w:t>
            </w:r>
          </w:p>
        </w:tc>
        <w:tc>
          <w:tcPr>
            <w:tcW w:w="1710"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c>
          <w:tcPr>
            <w:tcW w:w="1709" w:type="dxa"/>
            <w:tcBorders>
              <w:tl2br w:val="nil"/>
              <w:tr2bl w:val="nil"/>
            </w:tcBorders>
            <w:vAlign w:val="center"/>
          </w:tcPr>
          <w:p>
            <w:pPr>
              <w:widowControl/>
              <w:jc w:val="center"/>
              <w:textAlignment w:val="center"/>
              <w:rPr>
                <w:rFonts w:ascii="Times New Roman" w:hAnsi="Times New Roman" w:cs="Times New Roman"/>
                <w:sz w:val="21"/>
                <w:szCs w:val="21"/>
              </w:rPr>
            </w:pPr>
            <w:r>
              <w:rPr>
                <w:rFonts w:ascii="Times New Roman" w:hAnsi="Times New Roman" w:cs="Times New Roman"/>
                <w:sz w:val="21"/>
                <w:szCs w:val="21"/>
              </w:rPr>
              <w:t>93.9</w:t>
            </w:r>
          </w:p>
        </w:tc>
      </w:tr>
      <w:bookmarkEnd w:id="178"/>
      <w:bookmarkEnd w:id="183"/>
    </w:tbl>
    <w:p>
      <w:pPr>
        <w:keepNext/>
        <w:keepLines w:val="0"/>
        <w:pageBreakBefore w:val="0"/>
        <w:widowControl w:val="0"/>
        <w:kinsoku/>
        <w:wordWrap/>
        <w:overflowPunct/>
        <w:topLinePunct w:val="0"/>
        <w:autoSpaceDE/>
        <w:autoSpaceDN/>
        <w:bidi w:val="0"/>
        <w:adjustRightInd/>
        <w:snapToGrid/>
        <w:spacing w:line="360" w:lineRule="auto"/>
        <w:textAlignment w:val="auto"/>
        <w:outlineLvl w:val="9"/>
        <w:rPr>
          <w:rFonts w:ascii="Times New Roman" w:hAnsi="Times New Roman" w:cs="Times New Roman"/>
          <w:b/>
          <w:sz w:val="28"/>
          <w:szCs w:val="28"/>
        </w:rPr>
        <w:sectPr>
          <w:pgSz w:w="11906" w:h="16838"/>
          <w:pgMar w:top="1361" w:right="1474" w:bottom="1361" w:left="1474" w:header="851" w:footer="992" w:gutter="0"/>
          <w:cols w:space="720" w:num="1"/>
          <w:docGrid w:type="lines" w:linePitch="312" w:charSpace="0"/>
        </w:sectPr>
      </w:pPr>
      <w:bookmarkStart w:id="299" w:name="_Toc20128"/>
      <w:bookmarkStart w:id="300" w:name="_Toc3284"/>
    </w:p>
    <w:p>
      <w:pPr>
        <w:keepNext/>
        <w:spacing w:line="360" w:lineRule="auto"/>
        <w:outlineLvl w:val="0"/>
        <w:rPr>
          <w:rFonts w:ascii="Times New Roman" w:hAnsi="Times New Roman" w:cs="Times New Roman"/>
          <w:b/>
          <w:sz w:val="28"/>
          <w:szCs w:val="28"/>
        </w:rPr>
      </w:pPr>
      <w:bookmarkStart w:id="301" w:name="_Toc14613"/>
      <w:r>
        <w:rPr>
          <w:rFonts w:ascii="Times New Roman" w:hAnsi="Times New Roman" w:cs="Times New Roman"/>
          <w:b/>
          <w:sz w:val="28"/>
          <w:szCs w:val="28"/>
        </w:rPr>
        <w:t>9</w:t>
      </w:r>
      <w:r>
        <w:rPr>
          <w:rFonts w:hint="eastAsia" w:ascii="Times New Roman" w:hAnsi="Times New Roman" w:cs="Times New Roman"/>
          <w:b/>
          <w:sz w:val="28"/>
          <w:szCs w:val="28"/>
        </w:rPr>
        <w:t>.</w:t>
      </w:r>
      <w:r>
        <w:rPr>
          <w:rFonts w:ascii="Times New Roman" w:hAnsi="Times New Roman" w:cs="Times New Roman"/>
          <w:b/>
          <w:sz w:val="28"/>
          <w:szCs w:val="28"/>
        </w:rPr>
        <w:t>验收监测结果及评价</w:t>
      </w:r>
      <w:bookmarkEnd w:id="299"/>
      <w:bookmarkEnd w:id="300"/>
      <w:bookmarkEnd w:id="301"/>
      <w:bookmarkStart w:id="302" w:name="_Toc306007996"/>
      <w:bookmarkStart w:id="303" w:name="_Toc234035057"/>
      <w:bookmarkStart w:id="304" w:name="_Toc240685260"/>
      <w:bookmarkStart w:id="305" w:name="_Toc267381914"/>
    </w:p>
    <w:p>
      <w:pPr>
        <w:pStyle w:val="4"/>
        <w:adjustRightInd w:val="0"/>
        <w:textAlignment w:val="baseline"/>
        <w:rPr>
          <w:rFonts w:ascii="Times New Roman"/>
          <w:sz w:val="24"/>
          <w:szCs w:val="24"/>
        </w:rPr>
      </w:pPr>
      <w:bookmarkStart w:id="306" w:name="_Toc10347"/>
      <w:bookmarkStart w:id="307" w:name="_Toc4880"/>
      <w:bookmarkStart w:id="308" w:name="_Toc2665"/>
      <w:bookmarkStart w:id="309" w:name="_Toc499296977"/>
      <w:bookmarkStart w:id="310" w:name="_Toc471484705"/>
      <w:bookmarkStart w:id="311" w:name="_Toc439167171"/>
      <w:bookmarkStart w:id="312" w:name="_Toc17889"/>
      <w:bookmarkStart w:id="313" w:name="_Toc438198585"/>
      <w:bookmarkStart w:id="314" w:name="_Toc13693"/>
      <w:r>
        <w:rPr>
          <w:rFonts w:ascii="Times New Roman"/>
          <w:sz w:val="24"/>
          <w:szCs w:val="24"/>
        </w:rPr>
        <w:t>9.1</w:t>
      </w:r>
      <w:bookmarkStart w:id="315" w:name="_Toc208394124"/>
      <w:bookmarkStart w:id="316" w:name="_Toc209867929"/>
      <w:bookmarkStart w:id="317" w:name="_Toc217378864"/>
      <w:r>
        <w:rPr>
          <w:rFonts w:ascii="Times New Roman"/>
          <w:sz w:val="24"/>
          <w:szCs w:val="24"/>
        </w:rPr>
        <w:t>验收监测期间工况</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pPr>
        <w:pStyle w:val="9"/>
        <w:spacing w:line="360" w:lineRule="auto"/>
        <w:ind w:left="0" w:firstLine="480" w:firstLineChars="200"/>
        <w:rPr>
          <w:rFonts w:ascii="Times New Roman" w:hAnsi="Times New Roman" w:cs="Times New Roman" w:eastAsiaTheme="minorEastAsia"/>
          <w:sz w:val="24"/>
          <w:szCs w:val="24"/>
        </w:rPr>
      </w:pPr>
      <w:bookmarkStart w:id="318" w:name="_Toc8558_WPSOffice_Level2"/>
      <w:r>
        <w:rPr>
          <w:rFonts w:ascii="Times New Roman" w:hAnsi="Times New Roman" w:cs="Times New Roman" w:eastAsiaTheme="minorEastAsia"/>
          <w:sz w:val="24"/>
          <w:szCs w:val="24"/>
        </w:rPr>
        <w:t>201</w:t>
      </w:r>
      <w:r>
        <w:rPr>
          <w:rFonts w:hint="eastAsia" w:ascii="Times New Roman" w:hAnsi="Times New Roman" w:cs="Times New Roman" w:eastAsiaTheme="minorEastAsia"/>
          <w:sz w:val="24"/>
          <w:szCs w:val="24"/>
        </w:rPr>
        <w:t>9</w:t>
      </w:r>
      <w:r>
        <w:rPr>
          <w:rFonts w:ascii="Times New Roman" w:hAnsi="Times New Roman" w:cs="Times New Roman" w:eastAsiaTheme="minorEastAsia"/>
          <w:sz w:val="24"/>
          <w:szCs w:val="24"/>
        </w:rPr>
        <w:t>年</w:t>
      </w:r>
      <w:r>
        <w:rPr>
          <w:rFonts w:hint="eastAsia" w:ascii="Times New Roman" w:hAnsi="Times New Roman" w:cs="Times New Roman" w:eastAsiaTheme="minorEastAsia"/>
          <w:sz w:val="24"/>
          <w:szCs w:val="24"/>
        </w:rPr>
        <w:t>3</w:t>
      </w:r>
      <w:r>
        <w:rPr>
          <w:rFonts w:ascii="Times New Roman" w:hAnsi="Times New Roman" w:cs="Times New Roman" w:eastAsiaTheme="minorEastAsia"/>
          <w:sz w:val="24"/>
          <w:szCs w:val="24"/>
        </w:rPr>
        <w:t>月</w:t>
      </w:r>
      <w:r>
        <w:rPr>
          <w:rFonts w:hint="eastAsia" w:ascii="Times New Roman" w:hAnsi="Times New Roman" w:cs="Times New Roman" w:eastAsiaTheme="minorEastAsia"/>
          <w:sz w:val="24"/>
          <w:szCs w:val="24"/>
        </w:rPr>
        <w:t>21</w:t>
      </w:r>
      <w:r>
        <w:rPr>
          <w:rFonts w:ascii="Times New Roman" w:hAnsi="Times New Roman" w:cs="Times New Roman" w:eastAsiaTheme="minorEastAsia"/>
          <w:sz w:val="24"/>
          <w:szCs w:val="24"/>
        </w:rPr>
        <w:t>日~</w:t>
      </w:r>
      <w:r>
        <w:rPr>
          <w:rFonts w:hint="eastAsia" w:ascii="Times New Roman" w:hAnsi="Times New Roman" w:cs="Times New Roman" w:eastAsiaTheme="minorEastAsia"/>
          <w:sz w:val="24"/>
          <w:szCs w:val="24"/>
        </w:rPr>
        <w:t>22</w:t>
      </w:r>
      <w:r>
        <w:rPr>
          <w:rFonts w:ascii="Times New Roman" w:hAnsi="Times New Roman" w:cs="Times New Roman" w:eastAsiaTheme="minorEastAsia"/>
          <w:sz w:val="24"/>
          <w:szCs w:val="24"/>
        </w:rPr>
        <w:t>日对</w:t>
      </w:r>
      <w:r>
        <w:rPr>
          <w:rFonts w:hint="eastAsia" w:ascii="Times New Roman" w:hAnsi="Times New Roman" w:cs="Times New Roman" w:eastAsiaTheme="minorEastAsia"/>
          <w:sz w:val="24"/>
          <w:szCs w:val="24"/>
        </w:rPr>
        <w:t>上海凤凰自行车江苏有限公司年产40万自行车生产线</w:t>
      </w:r>
      <w:r>
        <w:rPr>
          <w:rFonts w:ascii="Times New Roman" w:hAnsi="Times New Roman" w:cs="Times New Roman" w:eastAsiaTheme="minorEastAsia"/>
          <w:sz w:val="24"/>
          <w:szCs w:val="24"/>
        </w:rPr>
        <w:t>项目进行验收监测。验收监测期间，本项目主体工程稳定运行；验收监测期间本项目生产负荷情况具体见表9-1。</w:t>
      </w:r>
    </w:p>
    <w:p>
      <w:pPr>
        <w:pStyle w:val="7"/>
        <w:bidi w:val="0"/>
      </w:pPr>
      <w:r>
        <w:t>表</w:t>
      </w:r>
      <w:r>
        <w:rPr>
          <w:rFonts w:hint="eastAsia"/>
          <w:lang w:eastAsia="zh-CN"/>
        </w:rPr>
        <w:t>9-1</w:t>
      </w:r>
      <w:r>
        <w:rPr>
          <w:rFonts w:hint="eastAsia"/>
          <w:lang w:val="en-US" w:eastAsia="zh-CN"/>
        </w:rPr>
        <w:t xml:space="preserve">  </w:t>
      </w:r>
      <w:r>
        <w:rPr>
          <w:rFonts w:hint="eastAsia"/>
          <w:lang w:eastAsia="zh-CN"/>
        </w:rPr>
        <w:t>验收监测期间工况</w:t>
      </w:r>
      <w:bookmarkEnd w:id="318"/>
    </w:p>
    <w:tbl>
      <w:tblPr>
        <w:tblStyle w:val="23"/>
        <w:tblW w:w="9422" w:type="dxa"/>
        <w:tblInd w:w="-143"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09"/>
        <w:gridCol w:w="1187"/>
        <w:gridCol w:w="1200"/>
        <w:gridCol w:w="1172"/>
        <w:gridCol w:w="2004"/>
        <w:gridCol w:w="1338"/>
        <w:gridCol w:w="912"/>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609" w:type="dxa"/>
            <w:tcBorders>
              <w:tl2br w:val="nil"/>
              <w:tr2bl w:val="nil"/>
            </w:tcBorders>
            <w:vAlign w:val="center"/>
          </w:tcPr>
          <w:p>
            <w:pPr>
              <w:pStyle w:val="9"/>
              <w:spacing w:line="288" w:lineRule="auto"/>
              <w:ind w:left="0"/>
              <w:jc w:val="center"/>
              <w:rPr>
                <w:rFonts w:ascii="Times New Roman" w:hAnsi="Times New Roman" w:eastAsia="宋体"/>
                <w:b/>
                <w:sz w:val="21"/>
                <w:szCs w:val="21"/>
              </w:rPr>
            </w:pPr>
            <w:r>
              <w:rPr>
                <w:rFonts w:hint="eastAsia" w:ascii="Times New Roman" w:hAnsi="Times New Roman" w:eastAsia="宋体"/>
                <w:b/>
                <w:sz w:val="21"/>
                <w:szCs w:val="21"/>
              </w:rPr>
              <w:t>项目名称</w:t>
            </w:r>
          </w:p>
        </w:tc>
        <w:tc>
          <w:tcPr>
            <w:tcW w:w="1187" w:type="dxa"/>
            <w:tcBorders>
              <w:tl2br w:val="nil"/>
              <w:tr2bl w:val="nil"/>
            </w:tcBorders>
            <w:vAlign w:val="center"/>
          </w:tcPr>
          <w:p>
            <w:pPr>
              <w:pStyle w:val="9"/>
              <w:spacing w:line="288" w:lineRule="auto"/>
              <w:ind w:left="0"/>
              <w:jc w:val="center"/>
              <w:rPr>
                <w:rFonts w:ascii="Times New Roman" w:hAnsi="Times New Roman" w:eastAsia="宋体"/>
                <w:b/>
                <w:sz w:val="21"/>
                <w:szCs w:val="21"/>
              </w:rPr>
            </w:pPr>
            <w:r>
              <w:rPr>
                <w:rFonts w:hint="eastAsia" w:ascii="Times New Roman" w:hAnsi="Times New Roman" w:eastAsia="宋体"/>
                <w:b/>
                <w:sz w:val="21"/>
                <w:szCs w:val="21"/>
              </w:rPr>
              <w:t>主要产品设计能力(万辆/年)</w:t>
            </w:r>
          </w:p>
        </w:tc>
        <w:tc>
          <w:tcPr>
            <w:tcW w:w="1200" w:type="dxa"/>
            <w:tcBorders>
              <w:tl2br w:val="nil"/>
              <w:tr2bl w:val="nil"/>
            </w:tcBorders>
            <w:vAlign w:val="center"/>
          </w:tcPr>
          <w:p>
            <w:pPr>
              <w:pStyle w:val="9"/>
              <w:spacing w:line="288" w:lineRule="auto"/>
              <w:ind w:left="0"/>
              <w:jc w:val="center"/>
              <w:rPr>
                <w:rFonts w:ascii="Times New Roman" w:hAnsi="Times New Roman" w:eastAsia="宋体"/>
                <w:b/>
                <w:sz w:val="21"/>
                <w:szCs w:val="21"/>
              </w:rPr>
            </w:pPr>
            <w:r>
              <w:rPr>
                <w:rFonts w:hint="eastAsia" w:ascii="Times New Roman" w:hAnsi="Times New Roman" w:eastAsia="宋体"/>
                <w:b/>
                <w:sz w:val="21"/>
                <w:szCs w:val="21"/>
              </w:rPr>
              <w:t>生产时间(天/年)</w:t>
            </w:r>
          </w:p>
        </w:tc>
        <w:tc>
          <w:tcPr>
            <w:tcW w:w="1172" w:type="dxa"/>
            <w:tcBorders>
              <w:tl2br w:val="nil"/>
              <w:tr2bl w:val="nil"/>
            </w:tcBorders>
            <w:vAlign w:val="center"/>
          </w:tcPr>
          <w:p>
            <w:pPr>
              <w:pStyle w:val="9"/>
              <w:spacing w:line="288" w:lineRule="auto"/>
              <w:ind w:left="0"/>
              <w:jc w:val="center"/>
              <w:rPr>
                <w:rFonts w:ascii="Times New Roman" w:hAnsi="Times New Roman" w:eastAsia="宋体"/>
                <w:b/>
                <w:sz w:val="21"/>
                <w:szCs w:val="21"/>
              </w:rPr>
            </w:pPr>
            <w:r>
              <w:rPr>
                <w:rFonts w:hint="eastAsia" w:ascii="Times New Roman" w:hAnsi="Times New Roman" w:eastAsia="宋体"/>
                <w:b/>
                <w:sz w:val="21"/>
                <w:szCs w:val="21"/>
              </w:rPr>
              <w:t>设计生产能力（辆/天）</w:t>
            </w:r>
          </w:p>
        </w:tc>
        <w:tc>
          <w:tcPr>
            <w:tcW w:w="2004" w:type="dxa"/>
            <w:tcBorders>
              <w:tl2br w:val="nil"/>
              <w:tr2bl w:val="nil"/>
            </w:tcBorders>
            <w:vAlign w:val="center"/>
          </w:tcPr>
          <w:p>
            <w:pPr>
              <w:pStyle w:val="9"/>
              <w:spacing w:line="288" w:lineRule="auto"/>
              <w:ind w:left="0"/>
              <w:jc w:val="center"/>
              <w:rPr>
                <w:rFonts w:ascii="Times New Roman" w:hAnsi="Times New Roman" w:eastAsia="宋体"/>
                <w:b/>
                <w:sz w:val="21"/>
                <w:szCs w:val="21"/>
              </w:rPr>
            </w:pPr>
            <w:r>
              <w:rPr>
                <w:rFonts w:hint="eastAsia" w:ascii="Times New Roman" w:hAnsi="Times New Roman" w:eastAsia="宋体"/>
                <w:b/>
                <w:sz w:val="21"/>
                <w:szCs w:val="21"/>
              </w:rPr>
              <w:t>监测日期</w:t>
            </w:r>
          </w:p>
        </w:tc>
        <w:tc>
          <w:tcPr>
            <w:tcW w:w="1338" w:type="dxa"/>
            <w:tcBorders>
              <w:tl2br w:val="nil"/>
              <w:tr2bl w:val="nil"/>
            </w:tcBorders>
            <w:vAlign w:val="center"/>
          </w:tcPr>
          <w:p>
            <w:pPr>
              <w:pStyle w:val="9"/>
              <w:spacing w:line="288" w:lineRule="auto"/>
              <w:ind w:left="0"/>
              <w:jc w:val="center"/>
              <w:rPr>
                <w:rFonts w:ascii="Times New Roman" w:hAnsi="Times New Roman" w:eastAsia="宋体"/>
                <w:b/>
                <w:color w:val="auto"/>
                <w:sz w:val="21"/>
                <w:szCs w:val="21"/>
              </w:rPr>
            </w:pPr>
            <w:r>
              <w:rPr>
                <w:rFonts w:hint="eastAsia" w:ascii="Times New Roman" w:hAnsi="Times New Roman" w:eastAsia="宋体"/>
                <w:b/>
                <w:color w:val="auto"/>
                <w:sz w:val="21"/>
                <w:szCs w:val="21"/>
              </w:rPr>
              <w:t>验收期间产量（辆/天）</w:t>
            </w:r>
          </w:p>
        </w:tc>
        <w:tc>
          <w:tcPr>
            <w:tcW w:w="912" w:type="dxa"/>
            <w:tcBorders>
              <w:tl2br w:val="nil"/>
              <w:tr2bl w:val="nil"/>
            </w:tcBorders>
            <w:vAlign w:val="center"/>
          </w:tcPr>
          <w:p>
            <w:pPr>
              <w:widowControl/>
              <w:spacing w:line="288" w:lineRule="auto"/>
              <w:jc w:val="center"/>
              <w:rPr>
                <w:rFonts w:ascii="Times New Roman" w:hAnsi="Times New Roman" w:eastAsia="宋体"/>
                <w:b/>
                <w:color w:val="auto"/>
                <w:szCs w:val="21"/>
              </w:rPr>
            </w:pPr>
          </w:p>
          <w:p>
            <w:pPr>
              <w:widowControl/>
              <w:spacing w:line="288" w:lineRule="auto"/>
              <w:jc w:val="center"/>
              <w:rPr>
                <w:rFonts w:ascii="Times New Roman" w:hAnsi="Times New Roman" w:eastAsia="宋体"/>
                <w:b/>
                <w:color w:val="auto"/>
                <w:szCs w:val="21"/>
              </w:rPr>
            </w:pPr>
            <w:r>
              <w:rPr>
                <w:rFonts w:hint="eastAsia" w:ascii="Times New Roman" w:hAnsi="Times New Roman" w:eastAsia="宋体"/>
                <w:b/>
                <w:color w:val="auto"/>
                <w:szCs w:val="21"/>
              </w:rPr>
              <w:t>负荷</w:t>
            </w:r>
          </w:p>
          <w:p>
            <w:pPr>
              <w:pStyle w:val="9"/>
              <w:spacing w:line="288" w:lineRule="auto"/>
              <w:ind w:left="0"/>
              <w:jc w:val="center"/>
              <w:rPr>
                <w:rFonts w:ascii="Times New Roman" w:hAnsi="Times New Roman" w:eastAsia="宋体"/>
                <w:b/>
                <w:color w:val="auto"/>
                <w:sz w:val="21"/>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0" w:hRule="atLeast"/>
        </w:trPr>
        <w:tc>
          <w:tcPr>
            <w:tcW w:w="1609" w:type="dxa"/>
            <w:vMerge w:val="restart"/>
            <w:tcBorders>
              <w:tl2br w:val="nil"/>
              <w:tr2bl w:val="nil"/>
            </w:tcBorders>
            <w:vAlign w:val="center"/>
          </w:tcPr>
          <w:p>
            <w:pPr>
              <w:pStyle w:val="9"/>
              <w:spacing w:line="288" w:lineRule="auto"/>
              <w:ind w:left="0"/>
              <w:jc w:val="center"/>
              <w:rPr>
                <w:rFonts w:ascii="Times New Roman" w:hAnsi="Times New Roman" w:eastAsia="宋体"/>
                <w:bCs/>
                <w:sz w:val="21"/>
                <w:szCs w:val="21"/>
              </w:rPr>
            </w:pPr>
            <w:r>
              <w:rPr>
                <w:rFonts w:hint="eastAsia" w:ascii="Times New Roman" w:hAnsi="Times New Roman" w:cs="Times New Roman" w:eastAsiaTheme="minorEastAsia"/>
                <w:sz w:val="21"/>
                <w:szCs w:val="21"/>
              </w:rPr>
              <w:t>年产40万自行车生产线</w:t>
            </w:r>
            <w:r>
              <w:rPr>
                <w:rFonts w:ascii="Times New Roman" w:hAnsi="Times New Roman" w:cs="Times New Roman" w:eastAsiaTheme="minorEastAsia"/>
                <w:sz w:val="21"/>
                <w:szCs w:val="21"/>
              </w:rPr>
              <w:t>项目</w:t>
            </w:r>
          </w:p>
        </w:tc>
        <w:tc>
          <w:tcPr>
            <w:tcW w:w="1187" w:type="dxa"/>
            <w:vMerge w:val="restart"/>
            <w:tcBorders>
              <w:tl2br w:val="nil"/>
              <w:tr2bl w:val="nil"/>
            </w:tcBorders>
            <w:vAlign w:val="center"/>
          </w:tcPr>
          <w:p>
            <w:pPr>
              <w:pStyle w:val="9"/>
              <w:spacing w:line="288" w:lineRule="auto"/>
              <w:ind w:left="0"/>
              <w:jc w:val="center"/>
              <w:rPr>
                <w:rFonts w:ascii="Times New Roman" w:hAnsi="Times New Roman" w:eastAsia="宋体"/>
                <w:bCs/>
                <w:sz w:val="21"/>
                <w:szCs w:val="21"/>
              </w:rPr>
            </w:pPr>
            <w:r>
              <w:rPr>
                <w:rFonts w:hint="eastAsia" w:ascii="Times New Roman" w:hAnsi="Times New Roman" w:eastAsia="宋体"/>
                <w:bCs/>
                <w:sz w:val="21"/>
                <w:szCs w:val="21"/>
              </w:rPr>
              <w:t>40</w:t>
            </w:r>
          </w:p>
        </w:tc>
        <w:tc>
          <w:tcPr>
            <w:tcW w:w="1200" w:type="dxa"/>
            <w:vMerge w:val="restart"/>
            <w:tcBorders>
              <w:tl2br w:val="nil"/>
              <w:tr2bl w:val="nil"/>
            </w:tcBorders>
            <w:vAlign w:val="center"/>
          </w:tcPr>
          <w:p>
            <w:pPr>
              <w:pStyle w:val="9"/>
              <w:spacing w:line="288" w:lineRule="auto"/>
              <w:ind w:left="0"/>
              <w:jc w:val="center"/>
              <w:rPr>
                <w:rFonts w:ascii="Times New Roman" w:hAnsi="Times New Roman" w:eastAsia="宋体"/>
                <w:bCs/>
                <w:sz w:val="21"/>
                <w:szCs w:val="21"/>
              </w:rPr>
            </w:pPr>
            <w:r>
              <w:rPr>
                <w:rFonts w:hint="eastAsia" w:ascii="Times New Roman" w:hAnsi="Times New Roman" w:eastAsia="宋体"/>
                <w:bCs/>
                <w:sz w:val="21"/>
                <w:szCs w:val="21"/>
              </w:rPr>
              <w:t>300</w:t>
            </w:r>
          </w:p>
        </w:tc>
        <w:tc>
          <w:tcPr>
            <w:tcW w:w="1172" w:type="dxa"/>
            <w:vMerge w:val="restart"/>
            <w:tcBorders>
              <w:tl2br w:val="nil"/>
              <w:tr2bl w:val="nil"/>
            </w:tcBorders>
            <w:vAlign w:val="center"/>
          </w:tcPr>
          <w:p>
            <w:pPr>
              <w:pStyle w:val="9"/>
              <w:spacing w:line="288" w:lineRule="auto"/>
              <w:ind w:left="0"/>
              <w:jc w:val="center"/>
              <w:rPr>
                <w:rFonts w:ascii="Times New Roman" w:hAnsi="Times New Roman" w:eastAsia="宋体"/>
                <w:bCs/>
                <w:sz w:val="21"/>
                <w:szCs w:val="21"/>
              </w:rPr>
            </w:pPr>
            <w:r>
              <w:rPr>
                <w:rFonts w:hint="eastAsia" w:ascii="Times New Roman" w:hAnsi="Times New Roman" w:eastAsia="宋体"/>
                <w:bCs/>
                <w:sz w:val="21"/>
                <w:szCs w:val="21"/>
              </w:rPr>
              <w:t>1333</w:t>
            </w:r>
          </w:p>
        </w:tc>
        <w:tc>
          <w:tcPr>
            <w:tcW w:w="2004" w:type="dxa"/>
            <w:tcBorders>
              <w:tl2br w:val="nil"/>
              <w:tr2bl w:val="nil"/>
            </w:tcBorders>
            <w:vAlign w:val="center"/>
          </w:tcPr>
          <w:p>
            <w:pPr>
              <w:pStyle w:val="9"/>
              <w:spacing w:line="288" w:lineRule="auto"/>
              <w:ind w:left="0"/>
              <w:jc w:val="center"/>
              <w:rPr>
                <w:rFonts w:ascii="Times New Roman" w:hAnsi="Times New Roman" w:eastAsia="宋体"/>
                <w:bCs/>
                <w:color w:val="auto"/>
                <w:sz w:val="21"/>
                <w:szCs w:val="21"/>
              </w:rPr>
            </w:pPr>
            <w:r>
              <w:rPr>
                <w:rFonts w:hint="eastAsia" w:ascii="Times New Roman" w:hAnsi="Times New Roman" w:eastAsia="宋体"/>
                <w:bCs/>
                <w:color w:val="auto"/>
                <w:sz w:val="21"/>
                <w:szCs w:val="21"/>
              </w:rPr>
              <w:t>2019年3月21日</w:t>
            </w:r>
          </w:p>
        </w:tc>
        <w:tc>
          <w:tcPr>
            <w:tcW w:w="1338" w:type="dxa"/>
            <w:tcBorders>
              <w:tl2br w:val="nil"/>
              <w:tr2bl w:val="nil"/>
            </w:tcBorders>
            <w:vAlign w:val="center"/>
          </w:tcPr>
          <w:p>
            <w:pPr>
              <w:pStyle w:val="9"/>
              <w:spacing w:line="288" w:lineRule="auto"/>
              <w:ind w:left="0"/>
              <w:jc w:val="center"/>
              <w:rPr>
                <w:rFonts w:hint="default" w:ascii="Times New Roman" w:hAnsi="Times New Roman" w:eastAsia="宋体"/>
                <w:bCs/>
                <w:color w:val="000000" w:themeColor="text1"/>
                <w:sz w:val="21"/>
                <w:szCs w:val="21"/>
                <w:lang w:val="en-US" w:eastAsia="zh-CN"/>
                <w14:textFill>
                  <w14:solidFill>
                    <w14:schemeClr w14:val="tx1"/>
                  </w14:solidFill>
                </w14:textFill>
              </w:rPr>
            </w:pPr>
            <w:r>
              <w:rPr>
                <w:rFonts w:hint="eastAsia" w:ascii="Times New Roman" w:hAnsi="Times New Roman" w:eastAsia="宋体"/>
                <w:bCs/>
                <w:color w:val="000000" w:themeColor="text1"/>
                <w:sz w:val="21"/>
                <w:szCs w:val="21"/>
                <w:lang w:val="en-US" w:eastAsia="zh-CN"/>
                <w14:textFill>
                  <w14:solidFill>
                    <w14:schemeClr w14:val="tx1"/>
                  </w14:solidFill>
                </w14:textFill>
              </w:rPr>
              <w:t>1010</w:t>
            </w:r>
          </w:p>
        </w:tc>
        <w:tc>
          <w:tcPr>
            <w:tcW w:w="912" w:type="dxa"/>
            <w:tcBorders>
              <w:tl2br w:val="nil"/>
              <w:tr2bl w:val="nil"/>
            </w:tcBorders>
            <w:vAlign w:val="center"/>
          </w:tcPr>
          <w:p>
            <w:pPr>
              <w:pStyle w:val="9"/>
              <w:spacing w:line="288" w:lineRule="auto"/>
              <w:ind w:left="0"/>
              <w:jc w:val="center"/>
              <w:rPr>
                <w:rFonts w:hint="default" w:ascii="Times New Roman" w:hAnsi="Times New Roman" w:eastAsia="宋体"/>
                <w:bCs/>
                <w:color w:val="000000" w:themeColor="text1"/>
                <w:sz w:val="21"/>
                <w:szCs w:val="21"/>
                <w:lang w:val="en-US" w:eastAsia="zh-CN"/>
                <w14:textFill>
                  <w14:solidFill>
                    <w14:schemeClr w14:val="tx1"/>
                  </w14:solidFill>
                </w14:textFill>
              </w:rPr>
            </w:pPr>
            <w:r>
              <w:rPr>
                <w:rFonts w:hint="eastAsia" w:ascii="Times New Roman" w:hAnsi="Times New Roman" w:eastAsia="宋体"/>
                <w:bCs/>
                <w:color w:val="000000" w:themeColor="text1"/>
                <w:sz w:val="21"/>
                <w:szCs w:val="21"/>
                <w:lang w:val="en-US" w:eastAsia="zh-CN"/>
                <w14:textFill>
                  <w14:solidFill>
                    <w14:schemeClr w14:val="tx1"/>
                  </w14:solidFill>
                </w14:textFill>
              </w:rPr>
              <w:t>76%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1609" w:type="dxa"/>
            <w:vMerge w:val="continue"/>
            <w:tcBorders>
              <w:tl2br w:val="nil"/>
              <w:tr2bl w:val="nil"/>
            </w:tcBorders>
            <w:vAlign w:val="center"/>
          </w:tcPr>
          <w:p>
            <w:pPr>
              <w:pStyle w:val="9"/>
              <w:spacing w:line="288" w:lineRule="auto"/>
              <w:ind w:left="0"/>
              <w:jc w:val="center"/>
              <w:rPr>
                <w:rFonts w:ascii="Times New Roman" w:hAnsi="Times New Roman" w:eastAsia="宋体"/>
                <w:bCs/>
                <w:sz w:val="21"/>
                <w:szCs w:val="21"/>
              </w:rPr>
            </w:pPr>
          </w:p>
        </w:tc>
        <w:tc>
          <w:tcPr>
            <w:tcW w:w="1187" w:type="dxa"/>
            <w:vMerge w:val="continue"/>
            <w:tcBorders>
              <w:tl2br w:val="nil"/>
              <w:tr2bl w:val="nil"/>
            </w:tcBorders>
            <w:vAlign w:val="center"/>
          </w:tcPr>
          <w:p>
            <w:pPr>
              <w:pStyle w:val="9"/>
              <w:spacing w:line="288" w:lineRule="auto"/>
              <w:ind w:left="0"/>
              <w:jc w:val="center"/>
              <w:rPr>
                <w:rFonts w:ascii="Times New Roman" w:hAnsi="Times New Roman" w:eastAsia="宋体"/>
                <w:bCs/>
                <w:sz w:val="21"/>
                <w:szCs w:val="21"/>
              </w:rPr>
            </w:pPr>
          </w:p>
        </w:tc>
        <w:tc>
          <w:tcPr>
            <w:tcW w:w="1200" w:type="dxa"/>
            <w:vMerge w:val="continue"/>
            <w:tcBorders>
              <w:tl2br w:val="nil"/>
              <w:tr2bl w:val="nil"/>
            </w:tcBorders>
            <w:vAlign w:val="center"/>
          </w:tcPr>
          <w:p>
            <w:pPr>
              <w:pStyle w:val="9"/>
              <w:spacing w:line="288" w:lineRule="auto"/>
              <w:ind w:left="0"/>
              <w:jc w:val="center"/>
              <w:rPr>
                <w:rFonts w:ascii="Times New Roman" w:hAnsi="Times New Roman" w:eastAsia="宋体"/>
                <w:bCs/>
                <w:sz w:val="21"/>
                <w:szCs w:val="21"/>
              </w:rPr>
            </w:pPr>
          </w:p>
        </w:tc>
        <w:tc>
          <w:tcPr>
            <w:tcW w:w="1172" w:type="dxa"/>
            <w:vMerge w:val="continue"/>
            <w:tcBorders>
              <w:tl2br w:val="nil"/>
              <w:tr2bl w:val="nil"/>
            </w:tcBorders>
            <w:vAlign w:val="center"/>
          </w:tcPr>
          <w:p>
            <w:pPr>
              <w:pStyle w:val="9"/>
              <w:spacing w:line="288" w:lineRule="auto"/>
              <w:ind w:left="0"/>
              <w:jc w:val="center"/>
              <w:rPr>
                <w:rFonts w:ascii="Times New Roman" w:hAnsi="Times New Roman" w:eastAsia="宋体"/>
                <w:bCs/>
                <w:sz w:val="21"/>
                <w:szCs w:val="21"/>
              </w:rPr>
            </w:pPr>
          </w:p>
        </w:tc>
        <w:tc>
          <w:tcPr>
            <w:tcW w:w="2004" w:type="dxa"/>
            <w:tcBorders>
              <w:tl2br w:val="nil"/>
              <w:tr2bl w:val="nil"/>
            </w:tcBorders>
            <w:vAlign w:val="center"/>
          </w:tcPr>
          <w:p>
            <w:pPr>
              <w:pStyle w:val="9"/>
              <w:spacing w:line="288" w:lineRule="auto"/>
              <w:ind w:left="0"/>
              <w:jc w:val="center"/>
              <w:rPr>
                <w:rFonts w:ascii="Times New Roman" w:hAnsi="Times New Roman" w:eastAsia="宋体"/>
                <w:bCs/>
                <w:color w:val="auto"/>
                <w:sz w:val="21"/>
                <w:szCs w:val="21"/>
              </w:rPr>
            </w:pPr>
            <w:r>
              <w:rPr>
                <w:rFonts w:hint="eastAsia" w:ascii="Times New Roman" w:hAnsi="Times New Roman" w:eastAsia="宋体"/>
                <w:bCs/>
                <w:color w:val="auto"/>
                <w:sz w:val="21"/>
                <w:szCs w:val="21"/>
              </w:rPr>
              <w:t>2019年3月22日</w:t>
            </w:r>
          </w:p>
        </w:tc>
        <w:tc>
          <w:tcPr>
            <w:tcW w:w="1338" w:type="dxa"/>
            <w:tcBorders>
              <w:tl2br w:val="nil"/>
              <w:tr2bl w:val="nil"/>
            </w:tcBorders>
            <w:vAlign w:val="center"/>
          </w:tcPr>
          <w:p>
            <w:pPr>
              <w:pStyle w:val="9"/>
              <w:spacing w:line="288" w:lineRule="auto"/>
              <w:ind w:left="0"/>
              <w:jc w:val="center"/>
              <w:rPr>
                <w:rFonts w:hint="default" w:ascii="Times New Roman" w:hAnsi="Times New Roman" w:eastAsia="宋体"/>
                <w:bCs/>
                <w:color w:val="000000" w:themeColor="text1"/>
                <w:sz w:val="21"/>
                <w:szCs w:val="21"/>
                <w:lang w:val="en-US" w:eastAsia="zh-CN"/>
                <w14:textFill>
                  <w14:solidFill>
                    <w14:schemeClr w14:val="tx1"/>
                  </w14:solidFill>
                </w14:textFill>
              </w:rPr>
            </w:pPr>
            <w:r>
              <w:rPr>
                <w:rFonts w:hint="eastAsia" w:ascii="Times New Roman" w:hAnsi="Times New Roman" w:eastAsia="宋体"/>
                <w:bCs/>
                <w:color w:val="000000" w:themeColor="text1"/>
                <w:sz w:val="21"/>
                <w:szCs w:val="21"/>
                <w:lang w:val="en-US" w:eastAsia="zh-CN"/>
                <w14:textFill>
                  <w14:solidFill>
                    <w14:schemeClr w14:val="tx1"/>
                  </w14:solidFill>
                </w14:textFill>
              </w:rPr>
              <w:t>1100</w:t>
            </w:r>
          </w:p>
        </w:tc>
        <w:tc>
          <w:tcPr>
            <w:tcW w:w="912" w:type="dxa"/>
            <w:tcBorders>
              <w:tl2br w:val="nil"/>
              <w:tr2bl w:val="nil"/>
            </w:tcBorders>
            <w:vAlign w:val="center"/>
          </w:tcPr>
          <w:p>
            <w:pPr>
              <w:pStyle w:val="9"/>
              <w:spacing w:line="288" w:lineRule="auto"/>
              <w:ind w:left="0"/>
              <w:jc w:val="center"/>
              <w:rPr>
                <w:rFonts w:hint="default" w:ascii="Times New Roman" w:hAnsi="Times New Roman" w:eastAsia="宋体"/>
                <w:bCs/>
                <w:color w:val="000000" w:themeColor="text1"/>
                <w:sz w:val="21"/>
                <w:szCs w:val="21"/>
                <w:lang w:val="en-US" w:eastAsia="zh-CN"/>
                <w14:textFill>
                  <w14:solidFill>
                    <w14:schemeClr w14:val="tx1"/>
                  </w14:solidFill>
                </w14:textFill>
              </w:rPr>
            </w:pPr>
            <w:r>
              <w:rPr>
                <w:rFonts w:hint="eastAsia" w:ascii="Times New Roman" w:hAnsi="Times New Roman" w:eastAsia="宋体"/>
                <w:bCs/>
                <w:color w:val="000000" w:themeColor="text1"/>
                <w:sz w:val="21"/>
                <w:szCs w:val="21"/>
                <w:lang w:val="en-US" w:eastAsia="zh-CN"/>
                <w14:textFill>
                  <w14:solidFill>
                    <w14:schemeClr w14:val="tx1"/>
                  </w14:solidFill>
                </w14:textFill>
              </w:rPr>
              <w:t>82%</w:t>
            </w:r>
          </w:p>
        </w:tc>
      </w:tr>
    </w:tbl>
    <w:p>
      <w:pPr>
        <w:pStyle w:val="6"/>
        <w:adjustRightInd w:val="0"/>
        <w:ind w:firstLine="0"/>
        <w:textAlignment w:val="baseline"/>
        <w:rPr>
          <w:b/>
          <w:bCs/>
          <w:color w:val="FF0000"/>
          <w:sz w:val="18"/>
          <w:szCs w:val="18"/>
        </w:rPr>
        <w:sectPr>
          <w:pgSz w:w="11906" w:h="16838"/>
          <w:pgMar w:top="1361" w:right="1474" w:bottom="1361" w:left="1474" w:header="851" w:footer="992" w:gutter="0"/>
          <w:cols w:space="720" w:num="1"/>
          <w:docGrid w:type="lines" w:linePitch="312" w:charSpace="0"/>
        </w:sectPr>
      </w:pPr>
      <w:r>
        <w:rPr>
          <w:rFonts w:hint="eastAsia"/>
          <w:sz w:val="18"/>
          <w:szCs w:val="18"/>
        </w:rPr>
        <w:t>注：工况数据均由建设单位提供。</w:t>
      </w:r>
    </w:p>
    <w:p>
      <w:pPr>
        <w:pStyle w:val="4"/>
        <w:adjustRightInd w:val="0"/>
        <w:textAlignment w:val="baseline"/>
        <w:rPr>
          <w:rFonts w:ascii="Times New Roman" w:hAnsi="Times New Roman" w:cs="Times New Roman" w:eastAsiaTheme="minorEastAsia"/>
          <w:sz w:val="24"/>
          <w:szCs w:val="24"/>
        </w:rPr>
      </w:pPr>
      <w:bookmarkStart w:id="319" w:name="_Toc15512"/>
      <w:bookmarkStart w:id="320" w:name="_Toc32702"/>
      <w:bookmarkStart w:id="321" w:name="_Toc13332"/>
      <w:bookmarkStart w:id="322" w:name="_Toc14000"/>
      <w:bookmarkStart w:id="323" w:name="_Toc17080"/>
      <w:r>
        <w:rPr>
          <w:rFonts w:ascii="Times New Roman" w:hAnsi="Times New Roman" w:cs="Times New Roman" w:eastAsiaTheme="minorEastAsia"/>
          <w:sz w:val="24"/>
          <w:szCs w:val="24"/>
        </w:rPr>
        <w:t>9.2污染物排放监测结果</w:t>
      </w:r>
      <w:bookmarkEnd w:id="319"/>
      <w:bookmarkEnd w:id="320"/>
      <w:bookmarkEnd w:id="321"/>
      <w:bookmarkEnd w:id="322"/>
      <w:bookmarkEnd w:id="323"/>
    </w:p>
    <w:p>
      <w:pPr>
        <w:keepNext/>
        <w:spacing w:line="360" w:lineRule="auto"/>
        <w:outlineLvl w:val="2"/>
        <w:rPr>
          <w:rFonts w:ascii="Times New Roman" w:hAnsi="Times New Roman" w:cs="Times New Roman"/>
          <w:b/>
          <w:bCs/>
          <w:szCs w:val="21"/>
        </w:rPr>
      </w:pPr>
      <w:bookmarkStart w:id="324" w:name="_Toc27121"/>
      <w:r>
        <w:rPr>
          <w:rFonts w:ascii="Times New Roman" w:hAnsi="Times New Roman" w:cs="Times New Roman"/>
          <w:b/>
          <w:bCs/>
          <w:sz w:val="24"/>
        </w:rPr>
        <w:t>9.2.1废水监测结果及评价</w:t>
      </w:r>
      <w:bookmarkEnd w:id="324"/>
    </w:p>
    <w:p>
      <w:pPr>
        <w:pStyle w:val="7"/>
        <w:bidi w:val="0"/>
      </w:pPr>
      <w:r>
        <w:t>表</w:t>
      </w:r>
      <w:r>
        <w:rPr>
          <w:rFonts w:hint="eastAsia"/>
          <w:lang w:eastAsia="zh-CN"/>
        </w:rPr>
        <w:t>9-2</w:t>
      </w:r>
      <w:r>
        <w:rPr>
          <w:rFonts w:hint="eastAsia"/>
          <w:lang w:val="en-US" w:eastAsia="zh-CN"/>
        </w:rPr>
        <w:t xml:space="preserve">  </w:t>
      </w:r>
      <w:r>
        <w:rPr>
          <w:rFonts w:hint="eastAsia"/>
          <w:lang w:eastAsia="zh-CN"/>
        </w:rPr>
        <w:t>废水监测数据</w:t>
      </w:r>
    </w:p>
    <w:tbl>
      <w:tblPr>
        <w:tblStyle w:val="23"/>
        <w:tblW w:w="13855" w:type="dxa"/>
        <w:jc w:val="center"/>
        <w:tblInd w:w="0" w:type="dxa"/>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
      <w:tblGrid>
        <w:gridCol w:w="1909"/>
        <w:gridCol w:w="1323"/>
        <w:gridCol w:w="1882"/>
        <w:gridCol w:w="1050"/>
        <w:gridCol w:w="1104"/>
        <w:gridCol w:w="968"/>
        <w:gridCol w:w="1037"/>
        <w:gridCol w:w="1677"/>
        <w:gridCol w:w="1268"/>
        <w:gridCol w:w="1637"/>
      </w:tblGrid>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590" w:hRule="atLeast"/>
          <w:jc w:val="center"/>
        </w:trPr>
        <w:tc>
          <w:tcPr>
            <w:tcW w:w="1909"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监测日期</w:t>
            </w:r>
          </w:p>
        </w:tc>
        <w:tc>
          <w:tcPr>
            <w:tcW w:w="1323"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w:t>
            </w:r>
          </w:p>
          <w:p>
            <w:pPr>
              <w:snapToGrid w:val="0"/>
              <w:jc w:val="center"/>
              <w:rPr>
                <w:rFonts w:ascii="Times New Roman" w:hAnsi="Times New Roman" w:cs="Times New Roman"/>
                <w:b/>
                <w:bCs/>
                <w:szCs w:val="21"/>
              </w:rPr>
            </w:pPr>
            <w:r>
              <w:rPr>
                <w:rFonts w:ascii="Times New Roman" w:hAnsi="Times New Roman" w:cs="Times New Roman"/>
                <w:b/>
                <w:bCs/>
                <w:szCs w:val="21"/>
              </w:rPr>
              <w:t>点位</w:t>
            </w:r>
          </w:p>
        </w:tc>
        <w:tc>
          <w:tcPr>
            <w:tcW w:w="1882"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w:t>
            </w:r>
          </w:p>
          <w:p>
            <w:pPr>
              <w:snapToGrid w:val="0"/>
              <w:jc w:val="center"/>
              <w:rPr>
                <w:rFonts w:ascii="Times New Roman" w:hAnsi="Times New Roman" w:cs="Times New Roman"/>
                <w:b/>
                <w:bCs/>
                <w:szCs w:val="21"/>
              </w:rPr>
            </w:pPr>
            <w:r>
              <w:rPr>
                <w:rFonts w:ascii="Times New Roman" w:hAnsi="Times New Roman" w:cs="Times New Roman"/>
                <w:b/>
                <w:bCs/>
                <w:szCs w:val="21"/>
              </w:rPr>
              <w:t>项目</w:t>
            </w:r>
          </w:p>
        </w:tc>
        <w:tc>
          <w:tcPr>
            <w:tcW w:w="4159" w:type="dxa"/>
            <w:gridSpan w:val="4"/>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监测结果mg/L  pH</w:t>
            </w:r>
            <w:r>
              <w:rPr>
                <w:rFonts w:hint="eastAsia" w:ascii="Times New Roman" w:hAnsi="Times New Roman" w:cs="Times New Roman"/>
                <w:b/>
                <w:bCs/>
                <w:szCs w:val="21"/>
              </w:rPr>
              <w:t>值</w:t>
            </w:r>
            <w:r>
              <w:rPr>
                <w:rFonts w:ascii="Times New Roman" w:hAnsi="Times New Roman" w:cs="Times New Roman"/>
                <w:b/>
                <w:bCs/>
                <w:szCs w:val="21"/>
              </w:rPr>
              <w:t>为无量纲</w:t>
            </w:r>
          </w:p>
        </w:tc>
        <w:tc>
          <w:tcPr>
            <w:tcW w:w="1677"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日均值或浓度范围</w:t>
            </w:r>
          </w:p>
          <w:p>
            <w:pPr>
              <w:snapToGrid w:val="0"/>
              <w:jc w:val="center"/>
              <w:rPr>
                <w:rFonts w:ascii="Times New Roman" w:hAnsi="Times New Roman" w:cs="Times New Roman"/>
                <w:b/>
                <w:bCs/>
                <w:szCs w:val="21"/>
              </w:rPr>
            </w:pPr>
            <w:r>
              <w:rPr>
                <w:rFonts w:hint="eastAsia" w:ascii="Times New Roman" w:hAnsi="Times New Roman" w:cs="Times New Roman"/>
                <w:b/>
                <w:bCs/>
                <w:szCs w:val="21"/>
              </w:rPr>
              <w:t>（</w:t>
            </w:r>
            <w:r>
              <w:rPr>
                <w:rFonts w:ascii="Times New Roman" w:hAnsi="Times New Roman" w:cs="Times New Roman"/>
                <w:b/>
                <w:bCs/>
                <w:szCs w:val="21"/>
              </w:rPr>
              <w:t>mg/L</w:t>
            </w:r>
            <w:r>
              <w:rPr>
                <w:rFonts w:hint="eastAsia" w:ascii="Times New Roman" w:hAnsi="Times New Roman" w:cs="Times New Roman"/>
                <w:b/>
                <w:bCs/>
                <w:szCs w:val="21"/>
              </w:rPr>
              <w:t>）</w:t>
            </w:r>
          </w:p>
        </w:tc>
        <w:tc>
          <w:tcPr>
            <w:tcW w:w="1268"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标准</w:t>
            </w:r>
          </w:p>
          <w:p>
            <w:pPr>
              <w:snapToGrid w:val="0"/>
              <w:jc w:val="center"/>
              <w:rPr>
                <w:rFonts w:ascii="Times New Roman" w:hAnsi="Times New Roman" w:cs="Times New Roman"/>
                <w:b/>
                <w:bCs/>
                <w:szCs w:val="21"/>
              </w:rPr>
            </w:pPr>
            <w:r>
              <w:rPr>
                <w:rFonts w:ascii="Times New Roman" w:hAnsi="Times New Roman" w:cs="Times New Roman"/>
                <w:b/>
                <w:bCs/>
                <w:szCs w:val="21"/>
              </w:rPr>
              <w:t>限值</w:t>
            </w:r>
          </w:p>
          <w:p>
            <w:pPr>
              <w:snapToGrid w:val="0"/>
              <w:jc w:val="center"/>
              <w:rPr>
                <w:rFonts w:ascii="Times New Roman" w:hAnsi="Times New Roman" w:cs="Times New Roman"/>
                <w:b/>
                <w:bCs/>
                <w:szCs w:val="21"/>
              </w:rPr>
            </w:pPr>
            <w:r>
              <w:rPr>
                <w:rFonts w:hint="eastAsia" w:ascii="Times New Roman" w:hAnsi="Times New Roman" w:cs="Times New Roman"/>
                <w:b/>
                <w:bCs/>
                <w:szCs w:val="21"/>
              </w:rPr>
              <w:t>（</w:t>
            </w:r>
            <w:r>
              <w:rPr>
                <w:rFonts w:ascii="Times New Roman" w:hAnsi="Times New Roman" w:cs="Times New Roman"/>
                <w:b/>
                <w:bCs/>
                <w:szCs w:val="21"/>
              </w:rPr>
              <w:t>mg/L</w:t>
            </w:r>
            <w:r>
              <w:rPr>
                <w:rFonts w:hint="eastAsia" w:ascii="Times New Roman" w:hAnsi="Times New Roman" w:cs="Times New Roman"/>
                <w:b/>
                <w:bCs/>
                <w:szCs w:val="21"/>
              </w:rPr>
              <w:t>）</w:t>
            </w:r>
          </w:p>
        </w:tc>
        <w:tc>
          <w:tcPr>
            <w:tcW w:w="1637"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评价结论</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295"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050"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第1次</w:t>
            </w:r>
          </w:p>
        </w:tc>
        <w:tc>
          <w:tcPr>
            <w:tcW w:w="1104"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第2次</w:t>
            </w:r>
          </w:p>
        </w:tc>
        <w:tc>
          <w:tcPr>
            <w:tcW w:w="968"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第3次</w:t>
            </w:r>
          </w:p>
        </w:tc>
        <w:tc>
          <w:tcPr>
            <w:tcW w:w="1037"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第4次</w:t>
            </w:r>
          </w:p>
        </w:tc>
        <w:tc>
          <w:tcPr>
            <w:tcW w:w="1677"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p>
        </w:tc>
        <w:tc>
          <w:tcPr>
            <w:tcW w:w="1268"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p>
        </w:tc>
        <w:tc>
          <w:tcPr>
            <w:tcW w:w="1637"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1</w:t>
            </w:r>
          </w:p>
        </w:tc>
        <w:tc>
          <w:tcPr>
            <w:tcW w:w="1323" w:type="dxa"/>
            <w:vMerge w:val="restart"/>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污水处理设施进口（W1）</w:t>
            </w:r>
          </w:p>
        </w:tc>
        <w:tc>
          <w:tcPr>
            <w:tcW w:w="1882"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pH值</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7.84</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7.79</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7.76</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7.81</w:t>
            </w:r>
          </w:p>
        </w:tc>
        <w:tc>
          <w:tcPr>
            <w:tcW w:w="167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hint="eastAsia" w:ascii="Times New Roman" w:hAnsi="Times New Roman" w:cs="Times New Roman"/>
                <w:szCs w:val="21"/>
              </w:rPr>
              <w:t>7.76-7.84</w:t>
            </w:r>
          </w:p>
        </w:tc>
        <w:tc>
          <w:tcPr>
            <w:tcW w:w="1268"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化学需氧量</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437</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455</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473</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464</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rPr>
              <w:t>457</w:t>
            </w:r>
            <w:r>
              <w:rPr>
                <w:rFonts w:hint="eastAsia" w:ascii="Times New Roman" w:hAnsi="Times New Roman" w:cs="Times New Roman"/>
                <w:szCs w:val="21"/>
                <w:lang w:val="en-US" w:eastAsia="zh-CN"/>
              </w:rPr>
              <w:t>.25</w:t>
            </w:r>
          </w:p>
        </w:tc>
        <w:tc>
          <w:tcPr>
            <w:tcW w:w="1268"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悬浮物</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178</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183</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172</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vertAlign w:val="superscript"/>
              </w:rPr>
            </w:pPr>
            <w:r>
              <w:rPr>
                <w:rFonts w:hint="eastAsia" w:ascii="Times New Roman" w:hAnsi="Times New Roman" w:cs="Times New Roman"/>
                <w:szCs w:val="21"/>
              </w:rPr>
              <w:t>168</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rPr>
              <w:t>175</w:t>
            </w:r>
            <w:r>
              <w:rPr>
                <w:rFonts w:hint="eastAsia" w:ascii="Times New Roman" w:hAnsi="Times New Roman" w:cs="Times New Roman"/>
                <w:szCs w:val="21"/>
                <w:lang w:val="en-US" w:eastAsia="zh-CN"/>
              </w:rPr>
              <w:t>.25</w:t>
            </w:r>
          </w:p>
        </w:tc>
        <w:tc>
          <w:tcPr>
            <w:tcW w:w="1268"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adjustRightInd w:val="0"/>
              <w:snapToGrid w:val="0"/>
              <w:jc w:val="center"/>
              <w:rPr>
                <w:rFonts w:ascii="Times New Roman" w:hAnsi="Times New Roman" w:cs="Times New Roman"/>
                <w:bCs/>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石油类</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3.03</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3.00</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2.95</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2.91</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2.97</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adjustRightInd w:val="0"/>
              <w:snapToGrid w:val="0"/>
              <w:jc w:val="center"/>
              <w:rPr>
                <w:rFonts w:ascii="Times New Roman" w:hAnsi="Times New Roman" w:cs="Times New Roman"/>
                <w:bCs/>
                <w:szCs w:val="21"/>
              </w:rPr>
            </w:pPr>
          </w:p>
        </w:tc>
        <w:tc>
          <w:tcPr>
            <w:tcW w:w="1323" w:type="dxa"/>
            <w:vMerge w:val="restart"/>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污水处理设施出口（W2）</w:t>
            </w:r>
          </w:p>
        </w:tc>
        <w:tc>
          <w:tcPr>
            <w:tcW w:w="1882"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pH值</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7.53</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7.51</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7.48</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7.52</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7.48-7.53</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szCs w:val="21"/>
              </w:rPr>
            </w:pPr>
            <w:r>
              <w:rPr>
                <w:rFonts w:ascii="Times New Roman" w:hAnsi="Times New Roman" w:cs="Times New Roman"/>
                <w:szCs w:val="21"/>
              </w:rPr>
              <w:t>6</w:t>
            </w:r>
            <w:r>
              <w:rPr>
                <w:rFonts w:hint="eastAsia" w:ascii="Times New Roman" w:hAnsi="Times New Roman" w:cs="Times New Roman"/>
                <w:szCs w:val="21"/>
              </w:rPr>
              <w:t>-</w:t>
            </w:r>
            <w:r>
              <w:rPr>
                <w:rFonts w:ascii="Times New Roman" w:hAnsi="Times New Roman" w:cs="Times New Roman"/>
                <w:szCs w:val="21"/>
              </w:rPr>
              <w:t>9</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adjustRightInd w:val="0"/>
              <w:snapToGrid w:val="0"/>
              <w:jc w:val="center"/>
              <w:rPr>
                <w:rFonts w:ascii="Times New Roman" w:hAnsi="Times New Roman" w:cs="Times New Roman"/>
                <w:bCs/>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化学需氧量</w:t>
            </w:r>
          </w:p>
        </w:tc>
        <w:tc>
          <w:tcPr>
            <w:tcW w:w="1050"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44</w:t>
            </w:r>
          </w:p>
        </w:tc>
        <w:tc>
          <w:tcPr>
            <w:tcW w:w="1104"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45</w:t>
            </w:r>
          </w:p>
        </w:tc>
        <w:tc>
          <w:tcPr>
            <w:tcW w:w="968"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47</w:t>
            </w:r>
          </w:p>
        </w:tc>
        <w:tc>
          <w:tcPr>
            <w:tcW w:w="1037"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42</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44.50</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50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b/>
                <w:bCs/>
                <w:color w:val="auto"/>
                <w:szCs w:val="21"/>
              </w:rPr>
            </w:pPr>
            <w:r>
              <w:rPr>
                <w:rFonts w:ascii="Times New Roman" w:hAnsi="Times New Roman" w:cs="Times New Roman"/>
                <w:color w:val="auto"/>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color w:val="FF0000"/>
                <w:szCs w:val="21"/>
              </w:rPr>
            </w:pPr>
            <w:r>
              <w:rPr>
                <w:rFonts w:ascii="Times New Roman" w:hAnsi="Times New Roman" w:cs="Times New Roman"/>
                <w:color w:val="auto"/>
                <w:szCs w:val="21"/>
              </w:rPr>
              <w:t>悬浮物</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lang w:val="en-US" w:eastAsia="zh-CN"/>
              </w:rPr>
              <w:t>2</w:t>
            </w:r>
            <w:r>
              <w:rPr>
                <w:rFonts w:hint="eastAsia" w:ascii="Times New Roman" w:hAnsi="Times New Roman" w:cs="Times New Roman"/>
                <w:color w:val="auto"/>
                <w:szCs w:val="21"/>
              </w:rPr>
              <w:t>1</w:t>
            </w:r>
          </w:p>
        </w:tc>
        <w:tc>
          <w:tcPr>
            <w:tcW w:w="1104"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24</w:t>
            </w:r>
          </w:p>
        </w:tc>
        <w:tc>
          <w:tcPr>
            <w:tcW w:w="968"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28</w:t>
            </w:r>
          </w:p>
        </w:tc>
        <w:tc>
          <w:tcPr>
            <w:tcW w:w="1037"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25</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24.50</w:t>
            </w:r>
          </w:p>
        </w:tc>
        <w:tc>
          <w:tcPr>
            <w:tcW w:w="1268"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30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b/>
                <w:bCs/>
                <w:color w:val="auto"/>
                <w:szCs w:val="21"/>
              </w:rPr>
            </w:pPr>
            <w:r>
              <w:rPr>
                <w:rFonts w:ascii="Times New Roman" w:hAnsi="Times New Roman" w:cs="Times New Roman"/>
                <w:color w:val="auto"/>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石油类</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0.41</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0.40</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0.42</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0.48</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0.43</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2</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生活污水排口（W3）</w:t>
            </w:r>
          </w:p>
        </w:tc>
        <w:tc>
          <w:tcPr>
            <w:tcW w:w="1882"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pH值</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7.62</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7.58</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7.61</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7.57</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7.57-7.62</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szCs w:val="21"/>
              </w:rPr>
            </w:pPr>
            <w:r>
              <w:rPr>
                <w:rFonts w:ascii="Times New Roman" w:hAnsi="Times New Roman" w:cs="Times New Roman"/>
                <w:szCs w:val="21"/>
              </w:rPr>
              <w:t>6</w:t>
            </w:r>
            <w:r>
              <w:rPr>
                <w:rFonts w:hint="eastAsia" w:ascii="Times New Roman" w:hAnsi="Times New Roman" w:cs="Times New Roman"/>
                <w:szCs w:val="21"/>
              </w:rPr>
              <w:t>-</w:t>
            </w:r>
            <w:r>
              <w:rPr>
                <w:rFonts w:ascii="Times New Roman" w:hAnsi="Times New Roman" w:cs="Times New Roman"/>
                <w:szCs w:val="21"/>
              </w:rPr>
              <w:t>9</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化学需氧量</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106</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101</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151</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123</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rPr>
              <w:t>120</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25</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szCs w:val="21"/>
              </w:rPr>
            </w:pPr>
            <w:r>
              <w:rPr>
                <w:rFonts w:hint="eastAsia" w:ascii="Times New Roman" w:hAnsi="Times New Roman" w:cs="Times New Roman"/>
                <w:szCs w:val="21"/>
              </w:rPr>
              <w:t>500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悬浮物</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47</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51</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56</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52</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rPr>
              <w:t>5</w:t>
            </w:r>
            <w:r>
              <w:rPr>
                <w:rFonts w:hint="eastAsia" w:ascii="Times New Roman" w:hAnsi="Times New Roman" w:cs="Times New Roman"/>
                <w:szCs w:val="21"/>
                <w:lang w:val="en-US" w:eastAsia="zh-CN"/>
              </w:rPr>
              <w:t>1.50</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szCs w:val="21"/>
              </w:rPr>
            </w:pPr>
            <w:r>
              <w:rPr>
                <w:rFonts w:hint="eastAsia" w:ascii="Times New Roman" w:hAnsi="Times New Roman" w:cs="Times New Roman"/>
                <w:szCs w:val="21"/>
              </w:rPr>
              <w:t>400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氨氮</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13.6</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13.4</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13.0</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14.5</w:t>
            </w:r>
          </w:p>
        </w:tc>
        <w:tc>
          <w:tcPr>
            <w:tcW w:w="1677" w:type="dxa"/>
            <w:tcBorders>
              <w:tl2br w:val="nil"/>
              <w:tr2bl w:val="nil"/>
            </w:tcBorders>
            <w:tcMar>
              <w:left w:w="57" w:type="dxa"/>
              <w:right w:w="57" w:type="dxa"/>
            </w:tcMar>
            <w:vAlign w:val="center"/>
          </w:tcPr>
          <w:p>
            <w:pPr>
              <w:widowControl/>
              <w:jc w:val="center"/>
              <w:textAlignment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rPr>
              <w:t>13.6</w:t>
            </w:r>
            <w:r>
              <w:rPr>
                <w:rFonts w:hint="eastAsia" w:ascii="Times New Roman" w:hAnsi="Times New Roman" w:cs="Times New Roman"/>
                <w:szCs w:val="21"/>
                <w:lang w:val="en-US" w:eastAsia="zh-CN"/>
              </w:rPr>
              <w:t>3</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35</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285"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总磷</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3.34</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3.16</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3.00</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3.42</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color w:val="auto"/>
                <w:szCs w:val="21"/>
              </w:rPr>
            </w:pPr>
            <w:r>
              <w:rPr>
                <w:rFonts w:hint="eastAsia" w:ascii="Times New Roman" w:hAnsi="Times New Roman" w:cs="Times New Roman"/>
                <w:color w:val="auto"/>
                <w:szCs w:val="21"/>
              </w:rPr>
              <w:t>3.23</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8</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color w:val="auto"/>
                <w:szCs w:val="21"/>
              </w:rPr>
            </w:pPr>
            <w:r>
              <w:rPr>
                <w:rFonts w:ascii="Times New Roman" w:hAnsi="Times New Roman" w:cs="Times New Roman"/>
                <w:color w:val="auto"/>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动植物油</w:t>
            </w:r>
          </w:p>
        </w:tc>
        <w:tc>
          <w:tcPr>
            <w:tcW w:w="1050"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1.23</w:t>
            </w:r>
          </w:p>
        </w:tc>
        <w:tc>
          <w:tcPr>
            <w:tcW w:w="1104"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1.20</w:t>
            </w:r>
          </w:p>
        </w:tc>
        <w:tc>
          <w:tcPr>
            <w:tcW w:w="968"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1.22</w:t>
            </w:r>
          </w:p>
        </w:tc>
        <w:tc>
          <w:tcPr>
            <w:tcW w:w="1037"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1.28</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1.23</w:t>
            </w:r>
          </w:p>
        </w:tc>
        <w:tc>
          <w:tcPr>
            <w:tcW w:w="1268" w:type="dxa"/>
            <w:tcBorders>
              <w:tl2br w:val="nil"/>
              <w:tr2bl w:val="nil"/>
            </w:tcBorders>
            <w:tcMar>
              <w:left w:w="57" w:type="dxa"/>
              <w:right w:w="57" w:type="dxa"/>
            </w:tcMar>
            <w:vAlign w:val="center"/>
          </w:tcPr>
          <w:p>
            <w:pPr>
              <w:ind w:left="420" w:hanging="420" w:hangingChars="200"/>
              <w:jc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100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color w:val="FF0000"/>
                <w:szCs w:val="21"/>
              </w:rPr>
            </w:pPr>
            <w:r>
              <w:rPr>
                <w:rFonts w:ascii="Times New Roman" w:hAnsi="Times New Roman" w:cs="Times New Roman"/>
                <w:color w:val="auto"/>
                <w:szCs w:val="21"/>
              </w:rPr>
              <w:t>达标</w:t>
            </w:r>
          </w:p>
        </w:tc>
      </w:tr>
    </w:tbl>
    <w:p>
      <w:pPr>
        <w:pStyle w:val="9"/>
        <w:spacing w:line="360" w:lineRule="auto"/>
        <w:ind w:left="0"/>
        <w:jc w:val="center"/>
        <w:rPr>
          <w:rFonts w:ascii="Times New Roman" w:hAnsi="Times New Roman" w:cs="Times New Roman" w:eastAsiaTheme="minorEastAsia"/>
          <w:b/>
          <w:sz w:val="24"/>
          <w:szCs w:val="24"/>
        </w:rPr>
        <w:sectPr>
          <w:pgSz w:w="16838" w:h="11906" w:orient="landscape"/>
          <w:pgMar w:top="1800" w:right="1440" w:bottom="1800" w:left="1440" w:header="851" w:footer="992" w:gutter="0"/>
          <w:cols w:space="425" w:num="1"/>
          <w:docGrid w:type="lines" w:linePitch="312" w:charSpace="0"/>
        </w:sectPr>
      </w:pPr>
    </w:p>
    <w:p>
      <w:pPr>
        <w:pStyle w:val="7"/>
        <w:bidi w:val="0"/>
      </w:pPr>
      <w:r>
        <w:rPr>
          <w:rFonts w:hint="eastAsia"/>
        </w:rPr>
        <w:t>续表9-2 废水监测数据</w:t>
      </w:r>
    </w:p>
    <w:tbl>
      <w:tblPr>
        <w:tblStyle w:val="23"/>
        <w:tblW w:w="13855" w:type="dxa"/>
        <w:jc w:val="center"/>
        <w:tblInd w:w="0" w:type="dxa"/>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
      <w:tblGrid>
        <w:gridCol w:w="1909"/>
        <w:gridCol w:w="1323"/>
        <w:gridCol w:w="1882"/>
        <w:gridCol w:w="1050"/>
        <w:gridCol w:w="1104"/>
        <w:gridCol w:w="968"/>
        <w:gridCol w:w="1037"/>
        <w:gridCol w:w="1677"/>
        <w:gridCol w:w="1268"/>
        <w:gridCol w:w="1637"/>
      </w:tblGrid>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590" w:hRule="atLeast"/>
          <w:jc w:val="center"/>
        </w:trPr>
        <w:tc>
          <w:tcPr>
            <w:tcW w:w="1909"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监测日期</w:t>
            </w:r>
          </w:p>
        </w:tc>
        <w:tc>
          <w:tcPr>
            <w:tcW w:w="1323"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w:t>
            </w:r>
          </w:p>
          <w:p>
            <w:pPr>
              <w:snapToGrid w:val="0"/>
              <w:jc w:val="center"/>
              <w:rPr>
                <w:rFonts w:ascii="Times New Roman" w:hAnsi="Times New Roman" w:cs="Times New Roman"/>
                <w:b/>
                <w:bCs/>
                <w:szCs w:val="21"/>
              </w:rPr>
            </w:pPr>
            <w:r>
              <w:rPr>
                <w:rFonts w:ascii="Times New Roman" w:hAnsi="Times New Roman" w:cs="Times New Roman"/>
                <w:b/>
                <w:bCs/>
                <w:szCs w:val="21"/>
              </w:rPr>
              <w:t>点位</w:t>
            </w:r>
          </w:p>
        </w:tc>
        <w:tc>
          <w:tcPr>
            <w:tcW w:w="1882"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w:t>
            </w:r>
          </w:p>
          <w:p>
            <w:pPr>
              <w:snapToGrid w:val="0"/>
              <w:jc w:val="center"/>
              <w:rPr>
                <w:rFonts w:ascii="Times New Roman" w:hAnsi="Times New Roman" w:cs="Times New Roman"/>
                <w:b/>
                <w:bCs/>
                <w:szCs w:val="21"/>
              </w:rPr>
            </w:pPr>
            <w:r>
              <w:rPr>
                <w:rFonts w:ascii="Times New Roman" w:hAnsi="Times New Roman" w:cs="Times New Roman"/>
                <w:b/>
                <w:bCs/>
                <w:szCs w:val="21"/>
              </w:rPr>
              <w:t>项目</w:t>
            </w:r>
          </w:p>
        </w:tc>
        <w:tc>
          <w:tcPr>
            <w:tcW w:w="4159" w:type="dxa"/>
            <w:gridSpan w:val="4"/>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监测结果mg/L  pH为无量纲</w:t>
            </w:r>
          </w:p>
        </w:tc>
        <w:tc>
          <w:tcPr>
            <w:tcW w:w="1677"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日均值或浓度范围</w:t>
            </w:r>
          </w:p>
          <w:p>
            <w:pPr>
              <w:snapToGrid w:val="0"/>
              <w:jc w:val="center"/>
              <w:rPr>
                <w:rFonts w:ascii="Times New Roman" w:hAnsi="Times New Roman" w:cs="Times New Roman"/>
                <w:b/>
                <w:bCs/>
                <w:szCs w:val="21"/>
              </w:rPr>
            </w:pPr>
            <w:r>
              <w:rPr>
                <w:rFonts w:hint="eastAsia" w:ascii="Times New Roman" w:hAnsi="Times New Roman" w:cs="Times New Roman"/>
                <w:b/>
                <w:bCs/>
                <w:szCs w:val="21"/>
              </w:rPr>
              <w:t>（</w:t>
            </w:r>
            <w:r>
              <w:rPr>
                <w:rFonts w:ascii="Times New Roman" w:hAnsi="Times New Roman" w:cs="Times New Roman"/>
                <w:b/>
                <w:bCs/>
                <w:szCs w:val="21"/>
              </w:rPr>
              <w:t>mg/L</w:t>
            </w:r>
            <w:r>
              <w:rPr>
                <w:rFonts w:hint="eastAsia" w:ascii="Times New Roman" w:hAnsi="Times New Roman" w:cs="Times New Roman"/>
                <w:b/>
                <w:bCs/>
                <w:szCs w:val="21"/>
              </w:rPr>
              <w:t>）</w:t>
            </w:r>
          </w:p>
        </w:tc>
        <w:tc>
          <w:tcPr>
            <w:tcW w:w="1268"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标准</w:t>
            </w:r>
          </w:p>
          <w:p>
            <w:pPr>
              <w:snapToGrid w:val="0"/>
              <w:jc w:val="center"/>
              <w:rPr>
                <w:rFonts w:ascii="Times New Roman" w:hAnsi="Times New Roman" w:cs="Times New Roman"/>
                <w:b/>
                <w:bCs/>
                <w:szCs w:val="21"/>
              </w:rPr>
            </w:pPr>
            <w:r>
              <w:rPr>
                <w:rFonts w:ascii="Times New Roman" w:hAnsi="Times New Roman" w:cs="Times New Roman"/>
                <w:b/>
                <w:bCs/>
                <w:szCs w:val="21"/>
              </w:rPr>
              <w:t>限值</w:t>
            </w:r>
          </w:p>
          <w:p>
            <w:pPr>
              <w:snapToGrid w:val="0"/>
              <w:jc w:val="center"/>
              <w:rPr>
                <w:rFonts w:ascii="Times New Roman" w:hAnsi="Times New Roman" w:cs="Times New Roman"/>
                <w:b/>
                <w:bCs/>
                <w:szCs w:val="21"/>
              </w:rPr>
            </w:pPr>
            <w:r>
              <w:rPr>
                <w:rFonts w:hint="eastAsia" w:ascii="Times New Roman" w:hAnsi="Times New Roman" w:cs="Times New Roman"/>
                <w:b/>
                <w:bCs/>
                <w:szCs w:val="21"/>
              </w:rPr>
              <w:t>（</w:t>
            </w:r>
            <w:r>
              <w:rPr>
                <w:rFonts w:ascii="Times New Roman" w:hAnsi="Times New Roman" w:cs="Times New Roman"/>
                <w:b/>
                <w:bCs/>
                <w:szCs w:val="21"/>
              </w:rPr>
              <w:t>mg/L</w:t>
            </w:r>
            <w:r>
              <w:rPr>
                <w:rFonts w:hint="eastAsia" w:ascii="Times New Roman" w:hAnsi="Times New Roman" w:cs="Times New Roman"/>
                <w:b/>
                <w:bCs/>
                <w:szCs w:val="21"/>
              </w:rPr>
              <w:t>）</w:t>
            </w:r>
          </w:p>
        </w:tc>
        <w:tc>
          <w:tcPr>
            <w:tcW w:w="1637"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评价结论</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295"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050"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第1次</w:t>
            </w:r>
          </w:p>
        </w:tc>
        <w:tc>
          <w:tcPr>
            <w:tcW w:w="1104"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第2次</w:t>
            </w:r>
          </w:p>
        </w:tc>
        <w:tc>
          <w:tcPr>
            <w:tcW w:w="968"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第3次</w:t>
            </w:r>
          </w:p>
        </w:tc>
        <w:tc>
          <w:tcPr>
            <w:tcW w:w="1037" w:type="dxa"/>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第4次</w:t>
            </w:r>
          </w:p>
        </w:tc>
        <w:tc>
          <w:tcPr>
            <w:tcW w:w="1677"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p>
        </w:tc>
        <w:tc>
          <w:tcPr>
            <w:tcW w:w="1268"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b/>
                <w:bCs/>
                <w:szCs w:val="21"/>
              </w:rPr>
            </w:pPr>
          </w:p>
        </w:tc>
        <w:tc>
          <w:tcPr>
            <w:tcW w:w="1637"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restart"/>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9.3.22</w:t>
            </w:r>
          </w:p>
        </w:tc>
        <w:tc>
          <w:tcPr>
            <w:tcW w:w="1323" w:type="dxa"/>
            <w:vMerge w:val="restart"/>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污水处理设施进口（W1）</w:t>
            </w:r>
          </w:p>
        </w:tc>
        <w:tc>
          <w:tcPr>
            <w:tcW w:w="1882"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pH值</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7.92</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7.85</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7.88</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7.86</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7.85-7.92</w:t>
            </w:r>
          </w:p>
        </w:tc>
        <w:tc>
          <w:tcPr>
            <w:tcW w:w="1268"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化学需氧量</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419</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433</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460</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446</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kern w:val="0"/>
                <w:szCs w:val="21"/>
                <w:lang w:val="en-US" w:eastAsia="zh-CN"/>
              </w:rPr>
            </w:pPr>
            <w:r>
              <w:rPr>
                <w:rFonts w:hint="eastAsia" w:ascii="Times New Roman" w:hAnsi="Times New Roman" w:cs="Times New Roman"/>
                <w:kern w:val="0"/>
                <w:szCs w:val="21"/>
                <w:lang w:val="en-US" w:eastAsia="zh-CN"/>
              </w:rPr>
              <w:t>439.5</w:t>
            </w:r>
          </w:p>
        </w:tc>
        <w:tc>
          <w:tcPr>
            <w:tcW w:w="1268"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悬浮物</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175</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179</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166</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171</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kern w:val="0"/>
                <w:szCs w:val="21"/>
                <w:lang w:val="en-US" w:eastAsia="zh-CN"/>
              </w:rPr>
            </w:pPr>
            <w:r>
              <w:rPr>
                <w:rFonts w:hint="eastAsia" w:ascii="Times New Roman" w:hAnsi="Times New Roman" w:cs="Times New Roman"/>
                <w:kern w:val="0"/>
                <w:szCs w:val="21"/>
              </w:rPr>
              <w:t>17</w:t>
            </w:r>
            <w:r>
              <w:rPr>
                <w:rFonts w:hint="eastAsia" w:ascii="Times New Roman" w:hAnsi="Times New Roman" w:cs="Times New Roman"/>
                <w:kern w:val="0"/>
                <w:szCs w:val="21"/>
                <w:lang w:val="en-US" w:eastAsia="zh-CN"/>
              </w:rPr>
              <w:t>2.75</w:t>
            </w:r>
          </w:p>
        </w:tc>
        <w:tc>
          <w:tcPr>
            <w:tcW w:w="1268"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石油类</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2.91</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2.84</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2.99</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2.84</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kern w:val="0"/>
                <w:szCs w:val="21"/>
              </w:rPr>
            </w:pPr>
            <w:r>
              <w:rPr>
                <w:rFonts w:hint="eastAsia" w:ascii="Times New Roman" w:hAnsi="Times New Roman" w:cs="Times New Roman"/>
                <w:kern w:val="0"/>
                <w:szCs w:val="21"/>
              </w:rPr>
              <w:t>2.90</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szCs w:val="21"/>
              </w:rPr>
            </w:pPr>
            <w:r>
              <w:rPr>
                <w:rFonts w:ascii="Times New Roman" w:hAnsi="Times New Roman" w:cs="Times New Roman"/>
                <w:szCs w:val="21"/>
              </w:rPr>
              <w:t>/</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p>
        </w:tc>
        <w:tc>
          <w:tcPr>
            <w:tcW w:w="1323" w:type="dxa"/>
            <w:vMerge w:val="restart"/>
            <w:tcBorders>
              <w:tl2br w:val="nil"/>
              <w:tr2bl w:val="nil"/>
            </w:tcBorders>
            <w:tcMar>
              <w:left w:w="57" w:type="dxa"/>
              <w:right w:w="57" w:type="dxa"/>
            </w:tcMar>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污水处理设施出口（W2）</w:t>
            </w:r>
          </w:p>
        </w:tc>
        <w:tc>
          <w:tcPr>
            <w:tcW w:w="1882"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pH值</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7.41</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7.42</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7.47</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7.45</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7.41-7.47</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ascii="Times New Roman" w:hAnsi="Times New Roman" w:cs="Times New Roman"/>
                <w:color w:val="auto"/>
                <w:szCs w:val="21"/>
              </w:rPr>
              <w:t>6~9</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color w:val="FF0000"/>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化学需氧量</w:t>
            </w:r>
          </w:p>
        </w:tc>
        <w:tc>
          <w:tcPr>
            <w:tcW w:w="1050"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41</w:t>
            </w:r>
          </w:p>
        </w:tc>
        <w:tc>
          <w:tcPr>
            <w:tcW w:w="1104"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44</w:t>
            </w:r>
          </w:p>
        </w:tc>
        <w:tc>
          <w:tcPr>
            <w:tcW w:w="968"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46</w:t>
            </w:r>
          </w:p>
        </w:tc>
        <w:tc>
          <w:tcPr>
            <w:tcW w:w="1037"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42</w:t>
            </w:r>
          </w:p>
        </w:tc>
        <w:tc>
          <w:tcPr>
            <w:tcW w:w="1677" w:type="dxa"/>
            <w:tcBorders>
              <w:tl2br w:val="nil"/>
              <w:tr2bl w:val="nil"/>
            </w:tcBorders>
            <w:tcMar>
              <w:left w:w="57" w:type="dxa"/>
              <w:right w:w="57" w:type="dxa"/>
            </w:tcMar>
            <w:vAlign w:val="center"/>
          </w:tcPr>
          <w:p>
            <w:pPr>
              <w:jc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43.25</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50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b/>
                <w:bCs/>
                <w:color w:val="auto"/>
                <w:szCs w:val="21"/>
              </w:rPr>
            </w:pPr>
            <w:r>
              <w:rPr>
                <w:rFonts w:ascii="Times New Roman" w:hAnsi="Times New Roman" w:cs="Times New Roman"/>
                <w:color w:val="auto"/>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悬浮物</w:t>
            </w:r>
          </w:p>
        </w:tc>
        <w:tc>
          <w:tcPr>
            <w:tcW w:w="1050"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23</w:t>
            </w:r>
          </w:p>
        </w:tc>
        <w:tc>
          <w:tcPr>
            <w:tcW w:w="1104"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27</w:t>
            </w:r>
          </w:p>
        </w:tc>
        <w:tc>
          <w:tcPr>
            <w:tcW w:w="968"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28</w:t>
            </w:r>
          </w:p>
        </w:tc>
        <w:tc>
          <w:tcPr>
            <w:tcW w:w="1037"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22</w:t>
            </w:r>
          </w:p>
        </w:tc>
        <w:tc>
          <w:tcPr>
            <w:tcW w:w="1677" w:type="dxa"/>
            <w:tcBorders>
              <w:tl2br w:val="nil"/>
              <w:tr2bl w:val="nil"/>
            </w:tcBorders>
            <w:tcMar>
              <w:left w:w="57" w:type="dxa"/>
              <w:right w:w="57" w:type="dxa"/>
            </w:tcMar>
            <w:vAlign w:val="center"/>
          </w:tcPr>
          <w:p>
            <w:pPr>
              <w:jc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25</w:t>
            </w:r>
          </w:p>
        </w:tc>
        <w:tc>
          <w:tcPr>
            <w:tcW w:w="1268"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30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b/>
                <w:bCs/>
                <w:color w:val="auto"/>
                <w:szCs w:val="21"/>
              </w:rPr>
            </w:pPr>
            <w:r>
              <w:rPr>
                <w:rFonts w:ascii="Times New Roman" w:hAnsi="Times New Roman" w:cs="Times New Roman"/>
                <w:color w:val="auto"/>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石油类</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0.49</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0.52</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0.53</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0.56</w:t>
            </w:r>
          </w:p>
        </w:tc>
        <w:tc>
          <w:tcPr>
            <w:tcW w:w="1677" w:type="dxa"/>
            <w:tcBorders>
              <w:tl2br w:val="nil"/>
              <w:tr2bl w:val="nil"/>
            </w:tcBorders>
            <w:tcMar>
              <w:left w:w="57" w:type="dxa"/>
              <w:right w:w="57" w:type="dxa"/>
            </w:tcMar>
            <w:vAlign w:val="center"/>
          </w:tcPr>
          <w:p>
            <w:pPr>
              <w:widowControl/>
              <w:jc w:val="center"/>
              <w:textAlignment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rPr>
              <w:t>0.5</w:t>
            </w:r>
            <w:r>
              <w:rPr>
                <w:rFonts w:hint="eastAsia" w:ascii="Times New Roman" w:hAnsi="Times New Roman" w:cs="Times New Roman"/>
                <w:szCs w:val="21"/>
                <w:lang w:val="en-US" w:eastAsia="zh-CN"/>
              </w:rPr>
              <w:t>3</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2</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restart"/>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生活污水排口（W3）</w:t>
            </w:r>
          </w:p>
        </w:tc>
        <w:tc>
          <w:tcPr>
            <w:tcW w:w="1882"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pH值</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7.88</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7.86</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7.85</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7.85</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7.85-7.88</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ascii="Times New Roman" w:hAnsi="Times New Roman" w:cs="Times New Roman"/>
                <w:color w:val="auto"/>
                <w:szCs w:val="21"/>
              </w:rPr>
              <w:t>6~9</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化学需氧量</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121</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145</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131</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115</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128</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500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悬浮物</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49</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63</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61</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54</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rPr>
              <w:t>5</w:t>
            </w:r>
            <w:r>
              <w:rPr>
                <w:rFonts w:hint="eastAsia" w:ascii="Times New Roman" w:hAnsi="Times New Roman" w:cs="Times New Roman"/>
                <w:szCs w:val="21"/>
                <w:lang w:val="en-US" w:eastAsia="zh-CN"/>
              </w:rPr>
              <w:t>6.75</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400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szCs w:val="21"/>
              </w:rPr>
            </w:pPr>
            <w:r>
              <w:rPr>
                <w:rFonts w:ascii="Times New Roman" w:hAnsi="Times New Roman" w:cs="Times New Roman"/>
                <w:szCs w:val="21"/>
              </w:rPr>
              <w:t>氨氮</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13.7</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13.3</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14.7</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szCs w:val="21"/>
              </w:rPr>
            </w:pPr>
            <w:r>
              <w:rPr>
                <w:rFonts w:hint="eastAsia" w:ascii="Times New Roman" w:hAnsi="Times New Roman" w:cs="Times New Roman"/>
                <w:szCs w:val="21"/>
              </w:rPr>
              <w:t>14.1</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rPr>
              <w:t>1</w:t>
            </w:r>
            <w:r>
              <w:rPr>
                <w:rFonts w:hint="eastAsia" w:ascii="Times New Roman" w:hAnsi="Times New Roman" w:cs="Times New Roman"/>
                <w:szCs w:val="21"/>
                <w:lang w:val="en-US" w:eastAsia="zh-CN"/>
              </w:rPr>
              <w:t>3.95</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35</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ascii="Times New Roman" w:hAnsi="Times New Roman" w:cs="Times New Roman"/>
                <w:color w:val="auto"/>
                <w:szCs w:val="21"/>
              </w:rPr>
            </w:pPr>
            <w:r>
              <w:rPr>
                <w:rFonts w:ascii="Times New Roman" w:hAnsi="Times New Roman" w:cs="Times New Roman"/>
                <w:color w:val="auto"/>
                <w:szCs w:val="21"/>
              </w:rPr>
              <w:t>总磷</w:t>
            </w:r>
          </w:p>
        </w:tc>
        <w:tc>
          <w:tcPr>
            <w:tcW w:w="1050"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2.96</w:t>
            </w:r>
          </w:p>
        </w:tc>
        <w:tc>
          <w:tcPr>
            <w:tcW w:w="1104"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3.08</w:t>
            </w:r>
          </w:p>
        </w:tc>
        <w:tc>
          <w:tcPr>
            <w:tcW w:w="968"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3.28</w:t>
            </w:r>
          </w:p>
        </w:tc>
        <w:tc>
          <w:tcPr>
            <w:tcW w:w="1037" w:type="dxa"/>
            <w:tcBorders>
              <w:tl2br w:val="nil"/>
              <w:tr2bl w:val="nil"/>
            </w:tcBorders>
            <w:tcMar>
              <w:left w:w="57" w:type="dxa"/>
              <w:right w:w="57" w:type="dxa"/>
            </w:tcMar>
            <w:vAlign w:val="center"/>
          </w:tcPr>
          <w:p>
            <w:pPr>
              <w:wordWrap w:val="0"/>
              <w:adjustRightInd w:val="0"/>
              <w:jc w:val="center"/>
              <w:textAlignment w:val="baseline"/>
              <w:rPr>
                <w:rFonts w:ascii="Times New Roman" w:hAnsi="Times New Roman" w:cs="Times New Roman"/>
                <w:color w:val="auto"/>
                <w:szCs w:val="21"/>
              </w:rPr>
            </w:pPr>
            <w:r>
              <w:rPr>
                <w:rFonts w:hint="eastAsia" w:ascii="Times New Roman" w:hAnsi="Times New Roman" w:cs="Times New Roman"/>
                <w:color w:val="auto"/>
                <w:szCs w:val="21"/>
              </w:rPr>
              <w:t>3.48</w:t>
            </w:r>
          </w:p>
        </w:tc>
        <w:tc>
          <w:tcPr>
            <w:tcW w:w="1677" w:type="dxa"/>
            <w:tcBorders>
              <w:tl2br w:val="nil"/>
              <w:tr2bl w:val="nil"/>
            </w:tcBorders>
            <w:tcMar>
              <w:left w:w="57" w:type="dxa"/>
              <w:right w:w="57" w:type="dxa"/>
            </w:tcMar>
            <w:vAlign w:val="center"/>
          </w:tcPr>
          <w:p>
            <w:pPr>
              <w:widowControl/>
              <w:jc w:val="center"/>
              <w:textAlignment w:val="center"/>
              <w:rPr>
                <w:rFonts w:ascii="Times New Roman" w:hAnsi="Times New Roman" w:cs="Times New Roman"/>
                <w:color w:val="FF0000"/>
                <w:szCs w:val="21"/>
              </w:rPr>
            </w:pPr>
            <w:r>
              <w:rPr>
                <w:rFonts w:hint="eastAsia" w:ascii="Times New Roman" w:hAnsi="Times New Roman" w:cs="Times New Roman"/>
                <w:color w:val="auto"/>
                <w:szCs w:val="21"/>
              </w:rPr>
              <w:t>3.20</w:t>
            </w:r>
          </w:p>
        </w:tc>
        <w:tc>
          <w:tcPr>
            <w:tcW w:w="1268" w:type="dxa"/>
            <w:tcBorders>
              <w:tl2br w:val="nil"/>
              <w:tr2bl w:val="nil"/>
            </w:tcBorders>
            <w:tcMar>
              <w:left w:w="57" w:type="dxa"/>
              <w:right w:w="57" w:type="dxa"/>
            </w:tcMar>
            <w:vAlign w:val="center"/>
          </w:tcPr>
          <w:p>
            <w:pPr>
              <w:ind w:left="420" w:hanging="420" w:hangingChars="200"/>
              <w:jc w:val="center"/>
              <w:rPr>
                <w:rFonts w:ascii="Times New Roman" w:hAnsi="Times New Roman" w:cs="Times New Roman"/>
                <w:color w:val="auto"/>
                <w:szCs w:val="21"/>
              </w:rPr>
            </w:pPr>
            <w:r>
              <w:rPr>
                <w:rFonts w:hint="eastAsia" w:ascii="Times New Roman" w:hAnsi="Times New Roman" w:cs="Times New Roman"/>
                <w:color w:val="auto"/>
                <w:szCs w:val="21"/>
              </w:rPr>
              <w:t>8</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color w:val="auto"/>
                <w:szCs w:val="21"/>
              </w:rPr>
            </w:pPr>
            <w:r>
              <w:rPr>
                <w:rFonts w:ascii="Times New Roman" w:hAnsi="Times New Roman" w:cs="Times New Roman"/>
                <w:color w:val="auto"/>
                <w:szCs w:val="21"/>
              </w:rPr>
              <w:t>达标</w:t>
            </w:r>
          </w:p>
        </w:tc>
      </w:tr>
      <w:tr>
        <w:tblPrEx>
          <w:tblBorders>
            <w:top w:val="single" w:color="000000" w:sz="18" w:space="0"/>
            <w:left w:val="none" w:color="auto" w:sz="0" w:space="0"/>
            <w:bottom w:val="single" w:color="000000" w:sz="18" w:space="0"/>
            <w:right w:val="none" w:color="auto" w:sz="0" w:space="0"/>
            <w:insideH w:val="single" w:color="000000" w:sz="4" w:space="0"/>
            <w:insideV w:val="single" w:color="000000" w:sz="6" w:space="0"/>
          </w:tblBorders>
          <w:tblLayout w:type="fixed"/>
          <w:tblCellMar>
            <w:top w:w="0" w:type="dxa"/>
            <w:left w:w="108" w:type="dxa"/>
            <w:bottom w:w="0" w:type="dxa"/>
            <w:right w:w="108" w:type="dxa"/>
          </w:tblCellMar>
        </w:tblPrEx>
        <w:trPr>
          <w:trHeight w:val="90" w:hRule="atLeast"/>
          <w:jc w:val="center"/>
        </w:trPr>
        <w:tc>
          <w:tcPr>
            <w:tcW w:w="1909"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323" w:type="dxa"/>
            <w:vMerge w:val="continue"/>
            <w:tcBorders>
              <w:tl2br w:val="nil"/>
              <w:tr2bl w:val="nil"/>
            </w:tcBorders>
            <w:tcMar>
              <w:left w:w="57" w:type="dxa"/>
              <w:right w:w="57" w:type="dxa"/>
            </w:tcMar>
            <w:vAlign w:val="center"/>
          </w:tcPr>
          <w:p>
            <w:pPr>
              <w:snapToGrid w:val="0"/>
              <w:jc w:val="center"/>
              <w:rPr>
                <w:rFonts w:ascii="Times New Roman" w:hAnsi="Times New Roman" w:cs="Times New Roman"/>
                <w:szCs w:val="21"/>
              </w:rPr>
            </w:pPr>
          </w:p>
        </w:tc>
        <w:tc>
          <w:tcPr>
            <w:tcW w:w="1882" w:type="dxa"/>
            <w:tcBorders>
              <w:tl2br w:val="nil"/>
              <w:tr2bl w:val="nil"/>
            </w:tcBorders>
            <w:tcMar>
              <w:left w:w="57" w:type="dxa"/>
              <w:right w:w="57" w:type="dxa"/>
            </w:tcMar>
            <w:vAlign w:val="center"/>
          </w:tcPr>
          <w:p>
            <w:pPr>
              <w:jc w:val="center"/>
              <w:rPr>
                <w:rFonts w:hint="eastAsia"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动植物油</w:t>
            </w:r>
          </w:p>
        </w:tc>
        <w:tc>
          <w:tcPr>
            <w:tcW w:w="1050"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1.29</w:t>
            </w:r>
          </w:p>
        </w:tc>
        <w:tc>
          <w:tcPr>
            <w:tcW w:w="1104"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1.32</w:t>
            </w:r>
          </w:p>
        </w:tc>
        <w:tc>
          <w:tcPr>
            <w:tcW w:w="968"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1.33</w:t>
            </w:r>
          </w:p>
        </w:tc>
        <w:tc>
          <w:tcPr>
            <w:tcW w:w="1037" w:type="dxa"/>
            <w:tcBorders>
              <w:tl2br w:val="nil"/>
              <w:tr2bl w:val="nil"/>
            </w:tcBorders>
            <w:tcMar>
              <w:left w:w="57" w:type="dxa"/>
              <w:right w:w="57" w:type="dxa"/>
            </w:tcMar>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1.36</w:t>
            </w:r>
          </w:p>
        </w:tc>
        <w:tc>
          <w:tcPr>
            <w:tcW w:w="1677" w:type="dxa"/>
            <w:tcBorders>
              <w:tl2br w:val="nil"/>
              <w:tr2bl w:val="nil"/>
            </w:tcBorders>
            <w:tcMar>
              <w:left w:w="57" w:type="dxa"/>
              <w:right w:w="57" w:type="dxa"/>
            </w:tcMar>
            <w:vAlign w:val="center"/>
          </w:tcPr>
          <w:p>
            <w:pPr>
              <w:widowControl/>
              <w:jc w:val="center"/>
              <w:textAlignment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1.33</w:t>
            </w:r>
          </w:p>
        </w:tc>
        <w:tc>
          <w:tcPr>
            <w:tcW w:w="1268" w:type="dxa"/>
            <w:tcBorders>
              <w:tl2br w:val="nil"/>
              <w:tr2bl w:val="nil"/>
            </w:tcBorders>
            <w:tcMar>
              <w:left w:w="57" w:type="dxa"/>
              <w:right w:w="57" w:type="dxa"/>
            </w:tcMar>
            <w:vAlign w:val="center"/>
          </w:tcPr>
          <w:p>
            <w:pPr>
              <w:ind w:left="420" w:hanging="420" w:hangingChars="200"/>
              <w:jc w:val="center"/>
              <w:rPr>
                <w:rFonts w:hint="default" w:ascii="Times New Roman" w:hAnsi="Times New Roman" w:cs="Times New Roman" w:eastAsiaTheme="minorEastAsia"/>
                <w:color w:val="FF0000"/>
                <w:szCs w:val="21"/>
                <w:lang w:val="en-US" w:eastAsia="zh-CN"/>
              </w:rPr>
            </w:pPr>
            <w:r>
              <w:rPr>
                <w:rFonts w:hint="eastAsia" w:ascii="Times New Roman" w:hAnsi="Times New Roman" w:cs="Times New Roman"/>
                <w:color w:val="auto"/>
                <w:szCs w:val="21"/>
                <w:lang w:val="en-US" w:eastAsia="zh-CN"/>
              </w:rPr>
              <w:t>100</w:t>
            </w:r>
          </w:p>
        </w:tc>
        <w:tc>
          <w:tcPr>
            <w:tcW w:w="1637" w:type="dxa"/>
            <w:tcBorders>
              <w:tl2br w:val="nil"/>
              <w:tr2bl w:val="nil"/>
            </w:tcBorders>
            <w:tcMar>
              <w:left w:w="57" w:type="dxa"/>
              <w:right w:w="57" w:type="dxa"/>
            </w:tcMar>
            <w:vAlign w:val="center"/>
          </w:tcPr>
          <w:p>
            <w:pPr>
              <w:snapToGrid w:val="0"/>
              <w:jc w:val="center"/>
              <w:rPr>
                <w:rFonts w:ascii="Times New Roman" w:hAnsi="Times New Roman" w:cs="Times New Roman"/>
                <w:color w:val="FF0000"/>
                <w:szCs w:val="21"/>
              </w:rPr>
            </w:pPr>
            <w:r>
              <w:rPr>
                <w:rFonts w:ascii="Times New Roman" w:hAnsi="Times New Roman" w:cs="Times New Roman"/>
                <w:color w:val="auto"/>
                <w:szCs w:val="21"/>
              </w:rPr>
              <w:t>达标</w:t>
            </w:r>
          </w:p>
        </w:tc>
      </w:tr>
    </w:tbl>
    <w:p>
      <w:pPr>
        <w:keepNext/>
        <w:spacing w:line="360" w:lineRule="auto"/>
        <w:outlineLvl w:val="2"/>
        <w:rPr>
          <w:rFonts w:ascii="Times New Roman" w:hAnsi="Times New Roman" w:cs="Times New Roman"/>
          <w:b/>
          <w:bCs/>
          <w:sz w:val="24"/>
        </w:rPr>
        <w:sectPr>
          <w:pgSz w:w="16838" w:h="11906" w:orient="landscape"/>
          <w:pgMar w:top="1800" w:right="1440" w:bottom="1800" w:left="1440" w:header="851" w:footer="992" w:gutter="0"/>
          <w:cols w:space="425" w:num="1"/>
          <w:docGrid w:type="lines" w:linePitch="312" w:charSpace="0"/>
        </w:sectPr>
      </w:pPr>
    </w:p>
    <w:p>
      <w:pPr>
        <w:keepNext/>
        <w:spacing w:line="360" w:lineRule="auto"/>
        <w:outlineLvl w:val="2"/>
        <w:rPr>
          <w:rFonts w:ascii="Times New Roman" w:hAnsi="Times New Roman" w:cs="Times New Roman"/>
          <w:b/>
          <w:bCs/>
          <w:sz w:val="24"/>
        </w:rPr>
      </w:pPr>
      <w:bookmarkStart w:id="325" w:name="_Toc17593"/>
      <w:r>
        <w:rPr>
          <w:rFonts w:ascii="Times New Roman" w:hAnsi="Times New Roman" w:cs="Times New Roman"/>
          <w:b/>
          <w:bCs/>
          <w:sz w:val="24"/>
        </w:rPr>
        <w:t>9.2.2有组织废气监测结果及评价</w:t>
      </w:r>
      <w:bookmarkEnd w:id="325"/>
    </w:p>
    <w:p>
      <w:pPr>
        <w:pStyle w:val="7"/>
        <w:bidi w:val="0"/>
        <w:rPr>
          <w:rFonts w:eastAsia="宋体"/>
          <w:szCs w:val="21"/>
        </w:rPr>
      </w:pPr>
      <w:r>
        <w:t>表</w:t>
      </w:r>
      <w:r>
        <w:rPr>
          <w:rFonts w:hint="eastAsia"/>
          <w:lang w:eastAsia="zh-CN"/>
        </w:rPr>
        <w:t>9-3</w:t>
      </w:r>
      <w:r>
        <w:rPr>
          <w:rFonts w:hint="eastAsia"/>
          <w:lang w:val="en-US" w:eastAsia="zh-CN"/>
        </w:rPr>
        <w:t xml:space="preserve">  </w:t>
      </w:r>
      <w:r>
        <w:rPr>
          <w:rFonts w:hint="eastAsia"/>
          <w:lang w:eastAsia="zh-CN"/>
        </w:rPr>
        <w:t>有组织废气检测结果</w:t>
      </w:r>
    </w:p>
    <w:tbl>
      <w:tblPr>
        <w:tblStyle w:val="23"/>
        <w:tblW w:w="13518" w:type="dxa"/>
        <w:jc w:val="center"/>
        <w:tblInd w:w="-6434"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1282"/>
        <w:gridCol w:w="1116"/>
        <w:gridCol w:w="1733"/>
        <w:gridCol w:w="2080"/>
        <w:gridCol w:w="1149"/>
        <w:gridCol w:w="1149"/>
        <w:gridCol w:w="1150"/>
        <w:gridCol w:w="1321"/>
        <w:gridCol w:w="1351"/>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采样时间</w:t>
            </w:r>
          </w:p>
        </w:tc>
        <w:tc>
          <w:tcPr>
            <w:tcW w:w="2398" w:type="dxa"/>
            <w:gridSpan w:val="2"/>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检测点位</w:t>
            </w:r>
          </w:p>
        </w:tc>
        <w:tc>
          <w:tcPr>
            <w:tcW w:w="3813" w:type="dxa"/>
            <w:gridSpan w:val="2"/>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检测项目</w:t>
            </w:r>
          </w:p>
        </w:tc>
        <w:tc>
          <w:tcPr>
            <w:tcW w:w="1149"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1</w:t>
            </w:r>
          </w:p>
        </w:tc>
        <w:tc>
          <w:tcPr>
            <w:tcW w:w="1149"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2</w:t>
            </w:r>
          </w:p>
        </w:tc>
        <w:tc>
          <w:tcPr>
            <w:tcW w:w="1150"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3</w:t>
            </w:r>
          </w:p>
        </w:tc>
        <w:tc>
          <w:tcPr>
            <w:tcW w:w="1321"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hint="eastAsia" w:ascii="Times New Roman" w:hAnsi="Times New Roman" w:eastAsia="宋体" w:cs="Times New Roman"/>
                <w:b/>
                <w:bCs/>
                <w:szCs w:val="21"/>
              </w:rPr>
              <w:t>限值</w:t>
            </w:r>
          </w:p>
        </w:tc>
        <w:tc>
          <w:tcPr>
            <w:tcW w:w="1351"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hint="eastAsia" w:ascii="Times New Roman" w:hAnsi="Times New Roman" w:eastAsia="宋体" w:cs="Times New Roman"/>
                <w:b/>
                <w:bCs/>
                <w:szCs w:val="21"/>
              </w:rPr>
              <w:t>评价结果</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restart"/>
            <w:tcBorders>
              <w:tl2br w:val="nil"/>
              <w:tr2bl w:val="nil"/>
            </w:tcBorders>
            <w:vAlign w:val="center"/>
          </w:tcPr>
          <w:p>
            <w:pPr>
              <w:adjustRightInd w:val="0"/>
              <w:jc w:val="center"/>
              <w:rPr>
                <w:rFonts w:ascii="Times New Roman" w:hAnsi="Times New Roman" w:eastAsia="宋体" w:cs="Times New Roman"/>
                <w:bCs/>
                <w:szCs w:val="21"/>
              </w:rPr>
            </w:pPr>
            <w:r>
              <w:rPr>
                <w:rFonts w:ascii="Times New Roman" w:hAnsi="Times New Roman" w:eastAsia="宋体" w:cs="Times New Roman"/>
                <w:bCs/>
                <w:szCs w:val="21"/>
              </w:rPr>
              <w:t>201</w:t>
            </w:r>
            <w:r>
              <w:rPr>
                <w:rFonts w:hint="eastAsia" w:ascii="Times New Roman" w:hAnsi="Times New Roman" w:eastAsia="宋体" w:cs="Times New Roman"/>
                <w:bCs/>
                <w:szCs w:val="21"/>
              </w:rPr>
              <w:t>9.3.21</w:t>
            </w:r>
          </w:p>
        </w:tc>
        <w:tc>
          <w:tcPr>
            <w:tcW w:w="1282" w:type="dxa"/>
            <w:vMerge w:val="restart"/>
            <w:tcBorders>
              <w:tl2br w:val="nil"/>
              <w:tr2bl w:val="nil"/>
            </w:tcBorders>
            <w:vAlign w:val="center"/>
          </w:tcPr>
          <w:p>
            <w:pPr>
              <w:adjustRightInd w:val="0"/>
              <w:jc w:val="center"/>
              <w:rPr>
                <w:rFonts w:ascii="Times New Roman" w:hAnsi="Times New Roman" w:eastAsia="宋体" w:cs="Times New Roman"/>
                <w:bCs/>
                <w:szCs w:val="21"/>
              </w:rPr>
            </w:pPr>
            <w:r>
              <w:rPr>
                <w:rFonts w:ascii="Times New Roman" w:hAnsi="Times New Roman" w:eastAsia="宋体" w:cs="Times New Roman"/>
                <w:bCs/>
                <w:szCs w:val="21"/>
              </w:rPr>
              <w:t>调喷漆废气排气筒</w:t>
            </w:r>
          </w:p>
        </w:tc>
        <w:tc>
          <w:tcPr>
            <w:tcW w:w="1116" w:type="dxa"/>
            <w:vMerge w:val="restart"/>
            <w:tcBorders>
              <w:tl2br w:val="nil"/>
              <w:tr2bl w:val="nil"/>
            </w:tcBorders>
            <w:vAlign w:val="center"/>
          </w:tcPr>
          <w:p>
            <w:pPr>
              <w:adjustRightInd w:val="0"/>
              <w:jc w:val="center"/>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底漆喷漆废气进口</w:t>
            </w: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15021</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14676</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14503</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8.3</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8.5</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8.4</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＜20</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ND</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0.723</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0.415</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1.11</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49"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6.09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lang w:val="en-US" w:eastAsia="zh-CN"/>
              </w:rPr>
              <w:t>1.61</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restart"/>
            <w:tcBorders>
              <w:tl2br w:val="nil"/>
              <w:tr2bl w:val="nil"/>
            </w:tcBorders>
            <w:vAlign w:val="center"/>
          </w:tcPr>
          <w:p>
            <w:pPr>
              <w:adjustRightInd w:val="0"/>
              <w:jc w:val="center"/>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面漆喷漆废气进口</w:t>
            </w: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9214</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8896</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9055</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5.8</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5.6</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5.7</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0.716</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1.26</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1.49</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6.60</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lang w:val="en-US" w:eastAsia="zh-CN"/>
              </w:rPr>
              <w:t>1.12</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lang w:val="en-US" w:eastAsia="zh-CN"/>
              </w:rPr>
              <w:t>1.35</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restart"/>
            <w:tcBorders>
              <w:tl2br w:val="nil"/>
              <w:tr2bl w:val="nil"/>
            </w:tcBorders>
            <w:vAlign w:val="center"/>
          </w:tcPr>
          <w:p>
            <w:pPr>
              <w:adjustRightInd w:val="0"/>
              <w:jc w:val="center"/>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罩光喷漆废气进口</w:t>
            </w: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10524</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10699</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10348</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6.0</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6.1</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5.9</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default" w:ascii="Times New Roman" w:hAnsi="Times New Roman" w:eastAsia="宋体" w:cs="Times New Roman"/>
                <w:szCs w:val="21"/>
                <w:lang w:val="en-US" w:eastAsia="zh-CN"/>
              </w:rPr>
              <w:t>＜20</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ND</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0.680</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0.679</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0.796</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hint="eastAsia" w:ascii="Times New Roman" w:hAnsi="Times New Roman" w:eastAsia="宋体" w:cs="Times New Roman"/>
                <w:bCs/>
                <w:szCs w:val="21"/>
                <w:lang w:val="en-US" w:eastAsia="zh-CN"/>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7.16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7.26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8.23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restart"/>
            <w:tcBorders>
              <w:tl2br w:val="nil"/>
              <w:tr2bl w:val="nil"/>
            </w:tcBorders>
            <w:vAlign w:val="center"/>
          </w:tcPr>
          <w:p>
            <w:pPr>
              <w:adjustRightInd w:val="0"/>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喷漆废气</w:t>
            </w:r>
            <w:r>
              <w:rPr>
                <w:rFonts w:ascii="Times New Roman" w:hAnsi="Times New Roman" w:eastAsia="宋体" w:cs="Times New Roman"/>
                <w:bCs/>
                <w:szCs w:val="21"/>
              </w:rPr>
              <w:t>出口</w:t>
            </w: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32</w:t>
            </w:r>
            <w:r>
              <w:rPr>
                <w:rFonts w:hint="eastAsia" w:ascii="Times New Roman" w:hAnsi="Times New Roman" w:eastAsia="宋体" w:cs="Times New Roman"/>
                <w:szCs w:val="21"/>
              </w:rPr>
              <w:t>536</w:t>
            </w:r>
          </w:p>
        </w:tc>
        <w:tc>
          <w:tcPr>
            <w:tcW w:w="1149"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3</w:t>
            </w:r>
            <w:r>
              <w:rPr>
                <w:rFonts w:hint="eastAsia" w:ascii="Times New Roman" w:hAnsi="Times New Roman" w:eastAsia="宋体" w:cs="Times New Roman"/>
                <w:szCs w:val="21"/>
              </w:rPr>
              <w:t>2988</w:t>
            </w:r>
          </w:p>
        </w:tc>
        <w:tc>
          <w:tcPr>
            <w:tcW w:w="115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3</w:t>
            </w:r>
            <w:r>
              <w:rPr>
                <w:rFonts w:hint="eastAsia" w:ascii="Times New Roman" w:hAnsi="Times New Roman" w:eastAsia="宋体" w:cs="Times New Roman"/>
                <w:szCs w:val="21"/>
              </w:rPr>
              <w:t>3439</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49"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7.2</w:t>
            </w:r>
          </w:p>
        </w:tc>
        <w:tc>
          <w:tcPr>
            <w:tcW w:w="1149"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r>
              <w:rPr>
                <w:rFonts w:hint="eastAsia" w:ascii="Times New Roman" w:hAnsi="Times New Roman" w:eastAsia="宋体" w:cs="Times New Roman"/>
                <w:szCs w:val="21"/>
              </w:rPr>
              <w:t>3</w:t>
            </w:r>
          </w:p>
        </w:tc>
        <w:tc>
          <w:tcPr>
            <w:tcW w:w="1150"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r>
              <w:rPr>
                <w:rFonts w:hint="eastAsia" w:ascii="Times New Roman" w:hAnsi="Times New Roman" w:eastAsia="宋体" w:cs="Times New Roman"/>
                <w:szCs w:val="21"/>
              </w:rPr>
              <w:t>4</w:t>
            </w:r>
          </w:p>
        </w:tc>
        <w:tc>
          <w:tcPr>
            <w:tcW w:w="1321"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p>
        </w:tc>
        <w:tc>
          <w:tcPr>
            <w:tcW w:w="1351"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0.797</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0.713</w:t>
            </w:r>
            <w:r>
              <w:rPr>
                <w:rFonts w:ascii="Times New Roman" w:hAnsi="Times New Roman" w:eastAsia="宋体" w:cs="Times New Roman"/>
                <w:color w:val="000000"/>
                <w:kern w:val="0"/>
                <w:szCs w:val="21"/>
              </w:rPr>
              <w:t xml:space="preserve"> </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0.677</w:t>
            </w:r>
            <w:r>
              <w:rPr>
                <w:rFonts w:ascii="Times New Roman" w:hAnsi="Times New Roman" w:eastAsia="宋体" w:cs="Times New Roman"/>
                <w:color w:val="000000"/>
                <w:kern w:val="0"/>
                <w:szCs w:val="21"/>
              </w:rPr>
              <w:t xml:space="preserve"> </w:t>
            </w:r>
          </w:p>
        </w:tc>
        <w:tc>
          <w:tcPr>
            <w:tcW w:w="1321"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60</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2.59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2.35</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2.26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21"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1.5</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0.51</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0.51</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1.3</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1.9</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1.7</w:t>
            </w:r>
          </w:p>
        </w:tc>
        <w:tc>
          <w:tcPr>
            <w:tcW w:w="1321"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120</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4.23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6.27</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5.68</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21"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3.5</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restart"/>
            <w:tcBorders>
              <w:tl2br w:val="nil"/>
              <w:tr2bl w:val="nil"/>
            </w:tcBorders>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烘干废气排气筒</w:t>
            </w:r>
          </w:p>
        </w:tc>
        <w:tc>
          <w:tcPr>
            <w:tcW w:w="1116" w:type="dxa"/>
            <w:vMerge w:val="restart"/>
            <w:tcBorders>
              <w:tl2br w:val="nil"/>
              <w:tr2bl w:val="nil"/>
            </w:tcBorders>
            <w:vAlign w:val="center"/>
          </w:tcPr>
          <w:p>
            <w:pPr>
              <w:adjustRightInd w:val="0"/>
              <w:jc w:val="center"/>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烘干废气进口</w:t>
            </w: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49" w:type="dxa"/>
            <w:tcBorders>
              <w:tl2br w:val="nil"/>
              <w:tr2bl w:val="nil"/>
            </w:tcBorders>
            <w:vAlign w:val="center"/>
          </w:tcPr>
          <w:p>
            <w:pPr>
              <w:adjustRightInd w:val="0"/>
              <w:jc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3774</w:t>
            </w:r>
          </w:p>
        </w:tc>
        <w:tc>
          <w:tcPr>
            <w:tcW w:w="1149" w:type="dxa"/>
            <w:tcBorders>
              <w:tl2br w:val="nil"/>
              <w:tr2bl w:val="nil"/>
            </w:tcBorders>
            <w:vAlign w:val="center"/>
          </w:tcPr>
          <w:p>
            <w:pPr>
              <w:adjustRightInd w:val="0"/>
              <w:jc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3753</w:t>
            </w:r>
          </w:p>
        </w:tc>
        <w:tc>
          <w:tcPr>
            <w:tcW w:w="1150" w:type="dxa"/>
            <w:tcBorders>
              <w:tl2br w:val="nil"/>
              <w:tr2bl w:val="nil"/>
            </w:tcBorders>
            <w:vAlign w:val="center"/>
          </w:tcPr>
          <w:p>
            <w:pPr>
              <w:adjustRightInd w:val="0"/>
              <w:jc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3741</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49" w:type="dxa"/>
            <w:tcBorders>
              <w:tl2br w:val="nil"/>
              <w:tr2bl w:val="nil"/>
            </w:tcBorders>
            <w:vAlign w:val="center"/>
          </w:tcPr>
          <w:p>
            <w:pPr>
              <w:widowControl/>
              <w:adjustRightInd w:val="0"/>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35.6</w:t>
            </w:r>
          </w:p>
        </w:tc>
        <w:tc>
          <w:tcPr>
            <w:tcW w:w="1149" w:type="dxa"/>
            <w:tcBorders>
              <w:tl2br w:val="nil"/>
              <w:tr2bl w:val="nil"/>
            </w:tcBorders>
            <w:vAlign w:val="center"/>
          </w:tcPr>
          <w:p>
            <w:pPr>
              <w:widowControl/>
              <w:adjustRightInd w:val="0"/>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35.4</w:t>
            </w:r>
          </w:p>
        </w:tc>
        <w:tc>
          <w:tcPr>
            <w:tcW w:w="1150" w:type="dxa"/>
            <w:tcBorders>
              <w:tl2br w:val="nil"/>
              <w:tr2bl w:val="nil"/>
            </w:tcBorders>
            <w:vAlign w:val="center"/>
          </w:tcPr>
          <w:p>
            <w:pPr>
              <w:widowControl/>
              <w:adjustRightInd w:val="0"/>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35.3</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eastAsia="zh-CN"/>
              </w:rPr>
            </w:pPr>
            <w:r>
              <w:rPr>
                <w:rFonts w:hint="eastAsia" w:ascii="Times New Roman" w:hAnsi="Times New Roman" w:eastAsia="宋体" w:cs="Times New Roman"/>
                <w:szCs w:val="21"/>
                <w:lang w:val="en-US" w:eastAsia="zh-CN"/>
              </w:rPr>
              <w:t>1.16</w:t>
            </w:r>
          </w:p>
        </w:tc>
        <w:tc>
          <w:tcPr>
            <w:tcW w:w="1149"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eastAsia="zh-CN"/>
              </w:rPr>
            </w:pPr>
            <w:r>
              <w:rPr>
                <w:rFonts w:hint="eastAsia" w:ascii="Times New Roman" w:hAnsi="Times New Roman" w:eastAsia="宋体" w:cs="Times New Roman"/>
                <w:szCs w:val="21"/>
                <w:lang w:val="en-US" w:eastAsia="zh-CN"/>
              </w:rPr>
              <w:t>0.728</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hint="eastAsia" w:ascii="Times New Roman" w:hAnsi="Times New Roman" w:eastAsia="宋体" w:cs="Times New Roman"/>
                <w:szCs w:val="21"/>
              </w:rPr>
              <w:t>0.730</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lang w:val="en-US" w:eastAsia="zh-CN"/>
              </w:rPr>
              <w:t>4.38</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lang w:val="en-US" w:eastAsia="zh-CN"/>
              </w:rPr>
              <w:t>2.73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lang w:val="en-US" w:eastAsia="zh-CN"/>
              </w:rPr>
              <w:t>2.73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51" w:type="dxa"/>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jc w:val="center"/>
              <w:rPr>
                <w:rFonts w:ascii="Times New Roman" w:hAnsi="Times New Roman" w:eastAsia="宋体" w:cs="Times New Roman"/>
                <w:bCs/>
                <w:szCs w:val="21"/>
              </w:rPr>
            </w:pPr>
          </w:p>
        </w:tc>
        <w:tc>
          <w:tcPr>
            <w:tcW w:w="1116" w:type="dxa"/>
            <w:vMerge w:val="restart"/>
            <w:tcBorders>
              <w:tl2br w:val="nil"/>
              <w:tr2bl w:val="nil"/>
            </w:tcBorders>
            <w:vAlign w:val="center"/>
          </w:tcPr>
          <w:p>
            <w:pPr>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烘干废气</w:t>
            </w:r>
            <w:r>
              <w:rPr>
                <w:rFonts w:ascii="Times New Roman" w:hAnsi="Times New Roman" w:eastAsia="宋体" w:cs="Times New Roman"/>
                <w:bCs/>
                <w:szCs w:val="21"/>
              </w:rPr>
              <w:t>出口</w:t>
            </w: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4487</w:t>
            </w:r>
          </w:p>
        </w:tc>
        <w:tc>
          <w:tcPr>
            <w:tcW w:w="1149"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4572</w:t>
            </w:r>
          </w:p>
        </w:tc>
        <w:tc>
          <w:tcPr>
            <w:tcW w:w="1150" w:type="dxa"/>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4275</w:t>
            </w:r>
          </w:p>
        </w:tc>
        <w:tc>
          <w:tcPr>
            <w:tcW w:w="1321" w:type="dxa"/>
            <w:tcBorders>
              <w:tl2br w:val="nil"/>
              <w:tr2bl w:val="nil"/>
            </w:tcBorders>
            <w:vAlign w:val="center"/>
          </w:tcPr>
          <w:p>
            <w:pPr>
              <w:adjustRightInd w:val="0"/>
              <w:jc w:val="center"/>
              <w:rPr>
                <w:rFonts w:ascii="Times New Roman" w:hAnsi="Times New Roman" w:eastAsia="宋体" w:cs="Times New Roman"/>
                <w:szCs w:val="21"/>
              </w:rPr>
            </w:pPr>
          </w:p>
        </w:tc>
        <w:tc>
          <w:tcPr>
            <w:tcW w:w="1351" w:type="dxa"/>
            <w:tcBorders>
              <w:tl2br w:val="nil"/>
              <w:tr2bl w:val="nil"/>
            </w:tcBorders>
            <w:vAlign w:val="center"/>
          </w:tcPr>
          <w:p>
            <w:pPr>
              <w:adjustRightInd w:val="0"/>
              <w:jc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3813"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49" w:type="dxa"/>
            <w:tcBorders>
              <w:tl2br w:val="nil"/>
              <w:tr2bl w:val="nil"/>
            </w:tcBorders>
            <w:vAlign w:val="center"/>
          </w:tcPr>
          <w:p>
            <w:pPr>
              <w:widowControl/>
              <w:adjustRightInd w:val="0"/>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10.6</w:t>
            </w:r>
          </w:p>
        </w:tc>
        <w:tc>
          <w:tcPr>
            <w:tcW w:w="1149" w:type="dxa"/>
            <w:tcBorders>
              <w:tl2br w:val="nil"/>
              <w:tr2bl w:val="nil"/>
            </w:tcBorders>
            <w:vAlign w:val="center"/>
          </w:tcPr>
          <w:p>
            <w:pPr>
              <w:widowControl/>
              <w:adjustRightInd w:val="0"/>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10.8</w:t>
            </w:r>
          </w:p>
        </w:tc>
        <w:tc>
          <w:tcPr>
            <w:tcW w:w="1150" w:type="dxa"/>
            <w:tcBorders>
              <w:tl2br w:val="nil"/>
              <w:tr2bl w:val="nil"/>
            </w:tcBorders>
            <w:vAlign w:val="center"/>
          </w:tcPr>
          <w:p>
            <w:pPr>
              <w:widowControl/>
              <w:adjustRightInd w:val="0"/>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10.1</w:t>
            </w:r>
          </w:p>
        </w:tc>
        <w:tc>
          <w:tcPr>
            <w:tcW w:w="1321"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p>
        </w:tc>
        <w:tc>
          <w:tcPr>
            <w:tcW w:w="1351"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0.694</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0.954</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0.730</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eastAsia="zh-CN"/>
              </w:rPr>
            </w:pPr>
            <w:r>
              <w:rPr>
                <w:rFonts w:hint="eastAsia" w:ascii="Times New Roman" w:hAnsi="Times New Roman" w:eastAsia="宋体" w:cs="Times New Roman"/>
                <w:color w:val="000000"/>
                <w:kern w:val="0"/>
                <w:szCs w:val="21"/>
                <w:lang w:val="en-US" w:eastAsia="zh-CN"/>
              </w:rPr>
              <w:t>46.04</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3.</w:t>
            </w:r>
            <w:r>
              <w:rPr>
                <w:rFonts w:hint="eastAsia" w:ascii="Times New Roman" w:hAnsi="Times New Roman" w:eastAsia="宋体" w:cs="Times New Roman"/>
                <w:color w:val="000000"/>
                <w:kern w:val="0"/>
                <w:szCs w:val="21"/>
                <w:lang w:val="en-US" w:eastAsia="zh-CN"/>
              </w:rPr>
              <w:t>11</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4.</w:t>
            </w:r>
            <w:r>
              <w:rPr>
                <w:rFonts w:hint="eastAsia" w:ascii="Times New Roman" w:hAnsi="Times New Roman" w:eastAsia="宋体" w:cs="Times New Roman"/>
                <w:color w:val="000000"/>
                <w:kern w:val="0"/>
                <w:szCs w:val="21"/>
                <w:lang w:val="en-US" w:eastAsia="zh-CN"/>
              </w:rPr>
              <w:t>36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lang w:val="en-US" w:eastAsia="zh-CN"/>
              </w:rPr>
              <w:t>3.12</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321"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1.5</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0.51</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0.51</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1.58</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adjustRightIn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二氧化硫</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3.96</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restart"/>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氮氧化物</w:t>
            </w: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49"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9</w:t>
            </w:r>
          </w:p>
        </w:tc>
        <w:tc>
          <w:tcPr>
            <w:tcW w:w="1149"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1150"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1321"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15.84</w:t>
            </w:r>
          </w:p>
        </w:tc>
        <w:tc>
          <w:tcPr>
            <w:tcW w:w="1351"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187"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82"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116"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733"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08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49"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4.04</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49"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0"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5.13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21" w:type="dxa"/>
            <w:tcBorders>
              <w:tl2br w:val="nil"/>
              <w:tr2bl w:val="nil"/>
            </w:tcBorders>
            <w:vAlign w:val="center"/>
          </w:tcPr>
          <w:p>
            <w:pPr>
              <w:widowControl/>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51"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bl>
    <w:p>
      <w:pPr>
        <w:pStyle w:val="9"/>
        <w:spacing w:line="360" w:lineRule="auto"/>
        <w:ind w:left="0"/>
        <w:rPr>
          <w:rFonts w:ascii="Times New Roman" w:hAnsi="Times New Roman" w:eastAsia="宋体" w:cs="宋体"/>
          <w:b/>
          <w:sz w:val="24"/>
          <w:szCs w:val="24"/>
        </w:rPr>
        <w:sectPr>
          <w:pgSz w:w="16838" w:h="11906" w:orient="landscape"/>
          <w:pgMar w:top="1417" w:right="1440" w:bottom="1417" w:left="1440" w:header="851" w:footer="992" w:gutter="0"/>
          <w:cols w:space="425" w:num="1"/>
          <w:docGrid w:type="lines" w:linePitch="312" w:charSpace="0"/>
        </w:sectPr>
      </w:pPr>
    </w:p>
    <w:p>
      <w:pPr>
        <w:pStyle w:val="7"/>
        <w:bidi w:val="0"/>
        <w:rPr>
          <w:rFonts w:eastAsia="宋体"/>
          <w:szCs w:val="21"/>
        </w:rPr>
      </w:pPr>
      <w:r>
        <w:rPr>
          <w:rFonts w:hint="eastAsia"/>
        </w:rPr>
        <w:t>续表9-3 有组织废气检测结果</w:t>
      </w:r>
    </w:p>
    <w:tbl>
      <w:tblPr>
        <w:tblStyle w:val="23"/>
        <w:tblW w:w="13706" w:type="dxa"/>
        <w:jc w:val="center"/>
        <w:tblInd w:w="-6434"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71"/>
        <w:gridCol w:w="1293"/>
        <w:gridCol w:w="3"/>
        <w:gridCol w:w="1109"/>
        <w:gridCol w:w="1710"/>
        <w:gridCol w:w="2100"/>
        <w:gridCol w:w="1170"/>
        <w:gridCol w:w="1125"/>
        <w:gridCol w:w="1155"/>
        <w:gridCol w:w="1335"/>
        <w:gridCol w:w="1335"/>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采样时间</w:t>
            </w:r>
          </w:p>
        </w:tc>
        <w:tc>
          <w:tcPr>
            <w:tcW w:w="2405" w:type="dxa"/>
            <w:gridSpan w:val="3"/>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检测点位</w:t>
            </w:r>
          </w:p>
        </w:tc>
        <w:tc>
          <w:tcPr>
            <w:tcW w:w="3810" w:type="dxa"/>
            <w:gridSpan w:val="2"/>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检测项目</w:t>
            </w:r>
          </w:p>
        </w:tc>
        <w:tc>
          <w:tcPr>
            <w:tcW w:w="1170"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1</w:t>
            </w:r>
          </w:p>
        </w:tc>
        <w:tc>
          <w:tcPr>
            <w:tcW w:w="1125"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2</w:t>
            </w:r>
          </w:p>
        </w:tc>
        <w:tc>
          <w:tcPr>
            <w:tcW w:w="1155"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3</w:t>
            </w:r>
          </w:p>
        </w:tc>
        <w:tc>
          <w:tcPr>
            <w:tcW w:w="1335"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hint="eastAsia" w:ascii="Times New Roman" w:hAnsi="Times New Roman" w:eastAsia="宋体" w:cs="Times New Roman"/>
                <w:b/>
                <w:bCs/>
                <w:szCs w:val="21"/>
              </w:rPr>
              <w:t>浓度限值</w:t>
            </w:r>
          </w:p>
        </w:tc>
        <w:tc>
          <w:tcPr>
            <w:tcW w:w="1335"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r>
              <w:rPr>
                <w:rFonts w:hint="eastAsia" w:ascii="Times New Roman" w:hAnsi="Times New Roman" w:eastAsia="宋体" w:cs="Times New Roman"/>
                <w:b/>
                <w:bCs/>
                <w:szCs w:val="21"/>
              </w:rPr>
              <w:t>评价结果</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restart"/>
            <w:tcBorders>
              <w:tl2br w:val="nil"/>
              <w:tr2bl w:val="nil"/>
            </w:tcBorders>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201</w:t>
            </w:r>
            <w:r>
              <w:rPr>
                <w:rFonts w:hint="eastAsia" w:ascii="Times New Roman" w:hAnsi="Times New Roman" w:eastAsia="宋体" w:cs="Times New Roman"/>
                <w:bCs/>
                <w:szCs w:val="21"/>
              </w:rPr>
              <w:t>9.3.22</w:t>
            </w:r>
          </w:p>
        </w:tc>
        <w:tc>
          <w:tcPr>
            <w:tcW w:w="1296" w:type="dxa"/>
            <w:gridSpan w:val="2"/>
            <w:vMerge w:val="restart"/>
            <w:tcBorders>
              <w:tl2br w:val="nil"/>
              <w:tr2bl w:val="nil"/>
            </w:tcBorders>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调喷漆废气排气筒</w:t>
            </w:r>
          </w:p>
        </w:tc>
        <w:tc>
          <w:tcPr>
            <w:tcW w:w="1109" w:type="dxa"/>
            <w:vMerge w:val="restart"/>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底漆喷漆</w:t>
            </w:r>
          </w:p>
          <w:p>
            <w:pPr>
              <w:adjustRightInd w:val="0"/>
              <w:snapToGrid w:val="0"/>
              <w:spacing w:line="260" w:lineRule="exact"/>
              <w:jc w:val="center"/>
              <w:textAlignment w:val="baseline"/>
              <w:rPr>
                <w:rFonts w:ascii="Times New Roman" w:hAnsi="Times New Roman" w:eastAsia="宋体" w:cs="Times New Roman"/>
                <w:b/>
                <w:bCs/>
                <w:szCs w:val="21"/>
              </w:rPr>
            </w:pPr>
            <w:r>
              <w:rPr>
                <w:rFonts w:hint="eastAsia" w:ascii="Times New Roman" w:hAnsi="Times New Roman" w:eastAsia="宋体" w:cs="Times New Roman"/>
                <w:bCs/>
                <w:szCs w:val="21"/>
                <w:lang w:val="en-US" w:eastAsia="zh-CN"/>
              </w:rPr>
              <w:t>废气进口</w:t>
            </w:r>
          </w:p>
        </w:tc>
        <w:tc>
          <w:tcPr>
            <w:tcW w:w="3810" w:type="dxa"/>
            <w:gridSpan w:val="2"/>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70"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14676</w:t>
            </w:r>
          </w:p>
        </w:tc>
        <w:tc>
          <w:tcPr>
            <w:tcW w:w="112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14331</w:t>
            </w:r>
          </w:p>
        </w:tc>
        <w:tc>
          <w:tcPr>
            <w:tcW w:w="115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14504</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3810" w:type="dxa"/>
            <w:gridSpan w:val="2"/>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废气流速（m/s）</w:t>
            </w:r>
          </w:p>
        </w:tc>
        <w:tc>
          <w:tcPr>
            <w:tcW w:w="1170"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8.5</w:t>
            </w:r>
          </w:p>
        </w:tc>
        <w:tc>
          <w:tcPr>
            <w:tcW w:w="112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8.3</w:t>
            </w:r>
          </w:p>
        </w:tc>
        <w:tc>
          <w:tcPr>
            <w:tcW w:w="115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8.4</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挥发性有机物</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default" w:ascii="Times New Roman" w:hAnsi="Times New Roman" w:eastAsia="宋体" w:cs="Times New Roman"/>
                <w:szCs w:val="21"/>
                <w:lang w:val="en-US" w:eastAsia="zh-CN"/>
              </w:rPr>
              <w:t>＜20</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default" w:ascii="Times New Roman" w:hAnsi="Times New Roman" w:eastAsia="宋体" w:cs="Times New Roman"/>
                <w:szCs w:val="21"/>
                <w:lang w:val="en-US" w:eastAsia="zh-CN"/>
              </w:rPr>
              <w:t>＜20</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default" w:ascii="Times New Roman" w:hAnsi="Times New Roman" w:eastAsia="宋体" w:cs="Times New Roman"/>
                <w:szCs w:val="21"/>
                <w:lang w:val="en-US" w:eastAsia="zh-CN"/>
              </w:rPr>
              <w:t>＜20</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乙酸丁酯</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丁醇</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rPr>
              <w:t>颗粒物</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0.635</w:t>
            </w:r>
          </w:p>
        </w:tc>
        <w:tc>
          <w:tcPr>
            <w:tcW w:w="112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0.665</w:t>
            </w:r>
          </w:p>
        </w:tc>
        <w:tc>
          <w:tcPr>
            <w:tcW w:w="115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0.867</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9.32</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125" w:type="dxa"/>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val="0"/>
                <w:bCs w:val="0"/>
                <w:szCs w:val="21"/>
              </w:rPr>
            </w:pPr>
            <w:r>
              <w:rPr>
                <w:rFonts w:hint="eastAsia" w:ascii="Times New Roman" w:hAnsi="Times New Roman" w:eastAsia="宋体" w:cs="Times New Roman"/>
                <w:color w:val="000000"/>
                <w:kern w:val="0"/>
                <w:szCs w:val="21"/>
                <w:lang w:val="en-US" w:eastAsia="zh-CN"/>
              </w:rPr>
              <w:t>9.53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15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1.26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val="0"/>
                <w:bCs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restart"/>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面漆喷漆</w:t>
            </w:r>
          </w:p>
          <w:p>
            <w:pPr>
              <w:adjustRightInd w:val="0"/>
              <w:snapToGrid w:val="0"/>
              <w:spacing w:line="260" w:lineRule="exact"/>
              <w:jc w:val="center"/>
              <w:textAlignment w:val="baseline"/>
              <w:rPr>
                <w:rFonts w:ascii="Times New Roman" w:hAnsi="Times New Roman" w:eastAsia="宋体" w:cs="Times New Roman"/>
                <w:b/>
                <w:bCs/>
                <w:szCs w:val="21"/>
              </w:rPr>
            </w:pPr>
            <w:r>
              <w:rPr>
                <w:rFonts w:hint="eastAsia" w:ascii="Times New Roman" w:hAnsi="Times New Roman" w:eastAsia="宋体" w:cs="Times New Roman"/>
                <w:bCs/>
                <w:szCs w:val="21"/>
                <w:lang w:val="en-US" w:eastAsia="zh-CN"/>
              </w:rPr>
              <w:t>废气进口</w:t>
            </w:r>
          </w:p>
        </w:tc>
        <w:tc>
          <w:tcPr>
            <w:tcW w:w="3810" w:type="dxa"/>
            <w:gridSpan w:val="2"/>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70"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9057</w:t>
            </w:r>
          </w:p>
        </w:tc>
        <w:tc>
          <w:tcPr>
            <w:tcW w:w="112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9216</w:t>
            </w:r>
          </w:p>
        </w:tc>
        <w:tc>
          <w:tcPr>
            <w:tcW w:w="115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8898</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3810" w:type="dxa"/>
            <w:gridSpan w:val="2"/>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废气流速（m/s）</w:t>
            </w:r>
          </w:p>
        </w:tc>
        <w:tc>
          <w:tcPr>
            <w:tcW w:w="1170"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5.7</w:t>
            </w:r>
          </w:p>
        </w:tc>
        <w:tc>
          <w:tcPr>
            <w:tcW w:w="112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5.8</w:t>
            </w:r>
          </w:p>
        </w:tc>
        <w:tc>
          <w:tcPr>
            <w:tcW w:w="1155" w:type="dxa"/>
            <w:tcBorders>
              <w:tl2br w:val="nil"/>
              <w:tr2bl w:val="nil"/>
            </w:tcBorders>
            <w:vAlign w:val="center"/>
          </w:tcPr>
          <w:p>
            <w:pPr>
              <w:adjustRightInd w:val="0"/>
              <w:snapToGrid w:val="0"/>
              <w:spacing w:line="260" w:lineRule="exact"/>
              <w:jc w:val="center"/>
              <w:textAlignment w:val="baseline"/>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b w:val="0"/>
                <w:bCs w:val="0"/>
                <w:szCs w:val="21"/>
                <w:lang w:val="en-US" w:eastAsia="zh-CN"/>
              </w:rPr>
              <w:t>5.6</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挥发性有机物</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default" w:ascii="Times New Roman" w:hAnsi="Times New Roman" w:eastAsia="宋体" w:cs="Times New Roman"/>
                <w:szCs w:val="21"/>
                <w:lang w:val="en-US" w:eastAsia="zh-CN"/>
              </w:rPr>
              <w:t>＜20</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default" w:ascii="Times New Roman" w:hAnsi="Times New Roman" w:eastAsia="宋体" w:cs="Times New Roman"/>
                <w:szCs w:val="21"/>
                <w:lang w:val="en-US" w:eastAsia="zh-CN"/>
              </w:rPr>
              <w:t>＜20</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default" w:ascii="Times New Roman" w:hAnsi="Times New Roman" w:eastAsia="宋体" w:cs="Times New Roman"/>
                <w:szCs w:val="21"/>
                <w:lang w:val="en-US" w:eastAsia="zh-CN"/>
              </w:rPr>
              <w:t>＜20</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乙酸丁酯</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丁醇</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ND</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rPr>
              <w:t>颗粒物</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hint="default" w:ascii="Times New Roman" w:hAnsi="Times New Roman" w:eastAsia="宋体" w:cs="Times New Roman"/>
                <w:b w:val="0"/>
                <w:bCs w:val="0"/>
                <w:szCs w:val="21"/>
                <w:lang w:val="en-US"/>
              </w:rPr>
            </w:pPr>
            <w:r>
              <w:rPr>
                <w:rFonts w:hint="eastAsia" w:ascii="Times New Roman" w:hAnsi="Times New Roman" w:eastAsia="宋体" w:cs="Times New Roman"/>
                <w:szCs w:val="21"/>
                <w:lang w:val="en-US" w:eastAsia="zh-CN"/>
              </w:rPr>
              <w:t>1.40</w:t>
            </w:r>
          </w:p>
        </w:tc>
        <w:tc>
          <w:tcPr>
            <w:tcW w:w="1125" w:type="dxa"/>
            <w:tcBorders>
              <w:tl2br w:val="nil"/>
              <w:tr2bl w:val="nil"/>
            </w:tcBorders>
            <w:vAlign w:val="center"/>
          </w:tcPr>
          <w:p>
            <w:pPr>
              <w:adjustRightInd w:val="0"/>
              <w:jc w:val="center"/>
              <w:rPr>
                <w:rFonts w:hint="default" w:ascii="Times New Roman" w:hAnsi="Times New Roman" w:eastAsia="宋体" w:cs="Times New Roman"/>
                <w:b w:val="0"/>
                <w:bCs w:val="0"/>
                <w:szCs w:val="21"/>
                <w:lang w:val="en-US"/>
              </w:rPr>
            </w:pPr>
            <w:r>
              <w:rPr>
                <w:rFonts w:hint="eastAsia" w:ascii="Times New Roman" w:hAnsi="Times New Roman" w:eastAsia="宋体" w:cs="Times New Roman"/>
                <w:szCs w:val="21"/>
                <w:lang w:val="en-US" w:eastAsia="zh-CN"/>
              </w:rPr>
              <w:t>1.55</w:t>
            </w:r>
          </w:p>
        </w:tc>
        <w:tc>
          <w:tcPr>
            <w:tcW w:w="1155" w:type="dxa"/>
            <w:tcBorders>
              <w:tl2br w:val="nil"/>
              <w:tr2bl w:val="nil"/>
            </w:tcBorders>
            <w:vAlign w:val="center"/>
          </w:tcPr>
          <w:p>
            <w:pPr>
              <w:adjustRightInd w:val="0"/>
              <w:jc w:val="center"/>
              <w:rPr>
                <w:rFonts w:hint="default" w:ascii="Times New Roman" w:hAnsi="Times New Roman" w:eastAsia="宋体" w:cs="Times New Roman"/>
                <w:b w:val="0"/>
                <w:bCs w:val="0"/>
                <w:szCs w:val="21"/>
                <w:lang w:val="en-US"/>
              </w:rPr>
            </w:pPr>
            <w:r>
              <w:rPr>
                <w:rFonts w:hint="eastAsia" w:ascii="Times New Roman" w:hAnsi="Times New Roman" w:eastAsia="宋体" w:cs="Times New Roman"/>
                <w:szCs w:val="21"/>
                <w:lang w:val="en-US" w:eastAsia="zh-CN"/>
              </w:rPr>
              <w:t>0.938</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hint="default" w:ascii="Times New Roman" w:hAnsi="Times New Roman" w:eastAsia="宋体" w:cs="Times New Roman"/>
                <w:b w:val="0"/>
                <w:bCs w:val="0"/>
                <w:szCs w:val="21"/>
                <w:lang w:val="en-US" w:eastAsia="zh-CN"/>
              </w:rPr>
            </w:pPr>
            <w:r>
              <w:rPr>
                <w:rFonts w:hint="eastAsia" w:ascii="Times New Roman" w:hAnsi="Times New Roman" w:eastAsia="宋体" w:cs="Times New Roman"/>
                <w:szCs w:val="21"/>
                <w:lang w:val="en-US" w:eastAsia="zh-CN"/>
              </w:rPr>
              <w:t>1.27</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125" w:type="dxa"/>
            <w:tcBorders>
              <w:tl2br w:val="nil"/>
              <w:tr2bl w:val="nil"/>
            </w:tcBorders>
            <w:vAlign w:val="center"/>
          </w:tcPr>
          <w:p>
            <w:pPr>
              <w:adjustRightInd w:val="0"/>
              <w:jc w:val="center"/>
              <w:rPr>
                <w:rFonts w:ascii="Times New Roman" w:hAnsi="Times New Roman" w:eastAsia="宋体" w:cs="Times New Roman"/>
                <w:b w:val="0"/>
                <w:bCs w:val="0"/>
                <w:szCs w:val="21"/>
              </w:rPr>
            </w:pPr>
            <w:r>
              <w:rPr>
                <w:rFonts w:hint="eastAsia" w:ascii="Times New Roman" w:hAnsi="Times New Roman" w:eastAsia="宋体" w:cs="Times New Roman"/>
                <w:color w:val="000000"/>
                <w:kern w:val="0"/>
                <w:szCs w:val="21"/>
                <w:lang w:val="en-US" w:eastAsia="zh-CN"/>
              </w:rPr>
              <w:t>1.43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5" w:type="dxa"/>
            <w:tcBorders>
              <w:tl2br w:val="nil"/>
              <w:tr2bl w:val="nil"/>
            </w:tcBorders>
            <w:vAlign w:val="center"/>
          </w:tcPr>
          <w:p>
            <w:pPr>
              <w:adjustRightInd w:val="0"/>
              <w:jc w:val="center"/>
              <w:rPr>
                <w:rFonts w:hint="eastAsia" w:ascii="Times New Roman" w:hAnsi="Times New Roman" w:eastAsia="宋体" w:cs="Times New Roman"/>
                <w:b w:val="0"/>
                <w:bCs w:val="0"/>
                <w:szCs w:val="21"/>
                <w:lang w:val="en-US" w:eastAsia="zh-CN"/>
              </w:rPr>
            </w:pPr>
            <w:r>
              <w:rPr>
                <w:rFonts w:hint="eastAsia" w:ascii="Times New Roman" w:hAnsi="Times New Roman" w:eastAsia="宋体" w:cs="Times New Roman"/>
                <w:color w:val="000000"/>
                <w:kern w:val="0"/>
                <w:szCs w:val="21"/>
                <w:lang w:val="en-US" w:eastAsia="zh-CN"/>
              </w:rPr>
              <w:t>8.35</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3</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restart"/>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bCs/>
                <w:szCs w:val="21"/>
                <w:lang w:val="en-US" w:eastAsia="zh-CN"/>
              </w:rPr>
              <w:t>罩光喷漆废气进口</w:t>
            </w:r>
          </w:p>
        </w:tc>
        <w:tc>
          <w:tcPr>
            <w:tcW w:w="3810" w:type="dxa"/>
            <w:gridSpan w:val="2"/>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70"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10683</w:t>
            </w:r>
          </w:p>
        </w:tc>
        <w:tc>
          <w:tcPr>
            <w:tcW w:w="1125"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10858</w:t>
            </w:r>
          </w:p>
        </w:tc>
        <w:tc>
          <w:tcPr>
            <w:tcW w:w="1155"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11033</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3810" w:type="dxa"/>
            <w:gridSpan w:val="2"/>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废气流速（m/s）</w:t>
            </w:r>
          </w:p>
        </w:tc>
        <w:tc>
          <w:tcPr>
            <w:tcW w:w="1170"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6.1</w:t>
            </w:r>
          </w:p>
        </w:tc>
        <w:tc>
          <w:tcPr>
            <w:tcW w:w="1125"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6.2</w:t>
            </w:r>
          </w:p>
        </w:tc>
        <w:tc>
          <w:tcPr>
            <w:tcW w:w="1155"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6.3</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挥发性有机物</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bCs/>
                <w:szCs w:val="21"/>
              </w:rPr>
            </w:pPr>
            <w:r>
              <w:rPr>
                <w:rFonts w:hint="default" w:ascii="Times New Roman" w:hAnsi="Times New Roman" w:eastAsia="宋体" w:cs="Times New Roman"/>
                <w:szCs w:val="21"/>
                <w:lang w:val="en-US" w:eastAsia="zh-CN"/>
              </w:rPr>
              <w:t>＜20</w:t>
            </w:r>
          </w:p>
        </w:tc>
        <w:tc>
          <w:tcPr>
            <w:tcW w:w="1125" w:type="dxa"/>
            <w:tcBorders>
              <w:tl2br w:val="nil"/>
              <w:tr2bl w:val="nil"/>
            </w:tcBorders>
            <w:vAlign w:val="center"/>
          </w:tcPr>
          <w:p>
            <w:pPr>
              <w:adjustRightInd w:val="0"/>
              <w:jc w:val="center"/>
              <w:rPr>
                <w:rFonts w:ascii="Times New Roman" w:hAnsi="Times New Roman" w:eastAsia="宋体" w:cs="Times New Roman"/>
                <w:b/>
                <w:bCs/>
                <w:szCs w:val="21"/>
              </w:rPr>
            </w:pPr>
            <w:r>
              <w:rPr>
                <w:rFonts w:hint="default" w:ascii="Times New Roman" w:hAnsi="Times New Roman" w:eastAsia="宋体" w:cs="Times New Roman"/>
                <w:szCs w:val="21"/>
                <w:lang w:val="en-US" w:eastAsia="zh-CN"/>
              </w:rPr>
              <w:t>＜20</w:t>
            </w:r>
          </w:p>
        </w:tc>
        <w:tc>
          <w:tcPr>
            <w:tcW w:w="1155" w:type="dxa"/>
            <w:tcBorders>
              <w:tl2br w:val="nil"/>
              <w:tr2bl w:val="nil"/>
            </w:tcBorders>
            <w:vAlign w:val="center"/>
          </w:tcPr>
          <w:p>
            <w:pPr>
              <w:adjustRightInd w:val="0"/>
              <w:jc w:val="center"/>
              <w:rPr>
                <w:rFonts w:ascii="Times New Roman" w:hAnsi="Times New Roman" w:eastAsia="宋体" w:cs="Times New Roman"/>
                <w:b/>
                <w:bCs/>
                <w:szCs w:val="21"/>
              </w:rPr>
            </w:pPr>
            <w:r>
              <w:rPr>
                <w:rFonts w:hint="default" w:ascii="Times New Roman" w:hAnsi="Times New Roman" w:eastAsia="宋体" w:cs="Times New Roman"/>
                <w:szCs w:val="21"/>
                <w:lang w:val="en-US" w:eastAsia="zh-CN"/>
              </w:rPr>
              <w:t>＜20</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乙酸丁酯</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ND</w:t>
            </w:r>
          </w:p>
        </w:tc>
        <w:tc>
          <w:tcPr>
            <w:tcW w:w="112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ND</w:t>
            </w:r>
          </w:p>
        </w:tc>
        <w:tc>
          <w:tcPr>
            <w:tcW w:w="115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ND</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b/>
                <w:bCs/>
                <w:szCs w:val="21"/>
              </w:rPr>
            </w:pPr>
            <w:r>
              <w:rPr>
                <w:rFonts w:ascii="Times New Roman" w:hAnsi="Times New Roman" w:eastAsia="宋体" w:cs="Times New Roman"/>
                <w:szCs w:val="21"/>
              </w:rPr>
              <w:t>丁醇</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ND</w:t>
            </w:r>
          </w:p>
        </w:tc>
        <w:tc>
          <w:tcPr>
            <w:tcW w:w="112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ND</w:t>
            </w:r>
          </w:p>
        </w:tc>
        <w:tc>
          <w:tcPr>
            <w:tcW w:w="115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ND</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12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155" w:type="dxa"/>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b/>
                <w:bCs/>
                <w:szCs w:val="21"/>
              </w:rPr>
            </w:pPr>
            <w:r>
              <w:rPr>
                <w:rFonts w:hint="eastAsia" w:ascii="Times New Roman" w:hAnsi="Times New Roman" w:eastAsia="宋体" w:cs="Times New Roman"/>
                <w:szCs w:val="21"/>
              </w:rPr>
              <w:t>颗粒物</w:t>
            </w: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1.14</w:t>
            </w:r>
          </w:p>
        </w:tc>
        <w:tc>
          <w:tcPr>
            <w:tcW w:w="1125"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1.53</w:t>
            </w:r>
          </w:p>
        </w:tc>
        <w:tc>
          <w:tcPr>
            <w:tcW w:w="1155" w:type="dxa"/>
            <w:tcBorders>
              <w:tl2br w:val="nil"/>
              <w:tr2bl w:val="nil"/>
            </w:tcBorders>
            <w:vAlign w:val="center"/>
          </w:tcPr>
          <w:p>
            <w:pPr>
              <w:adjustRightInd w:val="0"/>
              <w:jc w:val="center"/>
              <w:rPr>
                <w:rFonts w:hint="default" w:ascii="Times New Roman" w:hAnsi="Times New Roman" w:eastAsia="宋体" w:cs="Times New Roman"/>
                <w:b/>
                <w:bCs/>
                <w:szCs w:val="21"/>
                <w:lang w:val="en-US"/>
              </w:rPr>
            </w:pPr>
            <w:r>
              <w:rPr>
                <w:rFonts w:hint="eastAsia" w:ascii="Times New Roman" w:hAnsi="Times New Roman" w:eastAsia="宋体" w:cs="Times New Roman"/>
                <w:szCs w:val="21"/>
                <w:lang w:val="en-US" w:eastAsia="zh-CN"/>
              </w:rPr>
              <w:t>1.33</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6"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109"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b/>
                <w:bCs/>
                <w:szCs w:val="21"/>
              </w:rPr>
            </w:pPr>
          </w:p>
        </w:tc>
        <w:tc>
          <w:tcPr>
            <w:tcW w:w="2100" w:type="dxa"/>
            <w:tcBorders>
              <w:tl2br w:val="nil"/>
              <w:tr2bl w:val="nil"/>
            </w:tcBorders>
            <w:vAlign w:val="center"/>
          </w:tcPr>
          <w:p>
            <w:pPr>
              <w:adjustRightInd w:val="0"/>
              <w:jc w:val="center"/>
              <w:rPr>
                <w:rFonts w:ascii="Times New Roman" w:hAnsi="Times New Roman" w:eastAsia="宋体" w:cs="Times New Roman"/>
                <w:b/>
                <w:bCs/>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adjustRightInd w:val="0"/>
              <w:jc w:val="center"/>
              <w:rPr>
                <w:rFonts w:hint="eastAsia" w:ascii="Times New Roman" w:hAnsi="Times New Roman" w:eastAsia="宋体" w:cs="Times New Roman"/>
                <w:b/>
                <w:bCs/>
                <w:szCs w:val="21"/>
                <w:lang w:val="en-US" w:eastAsia="zh-CN"/>
              </w:rPr>
            </w:pPr>
            <w:r>
              <w:rPr>
                <w:rFonts w:hint="eastAsia" w:ascii="Times New Roman" w:hAnsi="Times New Roman" w:eastAsia="宋体" w:cs="Times New Roman"/>
                <w:szCs w:val="21"/>
                <w:lang w:val="en-US" w:eastAsia="zh-CN"/>
              </w:rPr>
              <w:t>1.22</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125" w:type="dxa"/>
            <w:tcBorders>
              <w:tl2br w:val="nil"/>
              <w:tr2bl w:val="nil"/>
            </w:tcBorders>
            <w:vAlign w:val="center"/>
          </w:tcPr>
          <w:p>
            <w:pPr>
              <w:adjustRightInd w:val="0"/>
              <w:jc w:val="center"/>
              <w:rPr>
                <w:rFonts w:hint="eastAsia" w:ascii="Times New Roman" w:hAnsi="Times New Roman" w:eastAsia="宋体" w:cs="Times New Roman"/>
                <w:b/>
                <w:bCs/>
                <w:szCs w:val="21"/>
                <w:lang w:val="en-US" w:eastAsia="zh-CN"/>
              </w:rPr>
            </w:pPr>
            <w:r>
              <w:rPr>
                <w:rFonts w:hint="eastAsia" w:ascii="Times New Roman" w:hAnsi="Times New Roman" w:eastAsia="宋体" w:cs="Times New Roman"/>
                <w:szCs w:val="21"/>
                <w:lang w:val="en-US" w:eastAsia="zh-CN"/>
              </w:rPr>
              <w:t>1.66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155" w:type="dxa"/>
            <w:tcBorders>
              <w:tl2br w:val="nil"/>
              <w:tr2bl w:val="nil"/>
            </w:tcBorders>
            <w:vAlign w:val="center"/>
          </w:tcPr>
          <w:p>
            <w:pPr>
              <w:adjustRightInd w:val="0"/>
              <w:jc w:val="center"/>
              <w:rPr>
                <w:rFonts w:hint="eastAsia" w:ascii="Times New Roman" w:hAnsi="Times New Roman" w:eastAsia="宋体" w:cs="Times New Roman"/>
                <w:b/>
                <w:bCs/>
                <w:szCs w:val="21"/>
                <w:lang w:val="en-US" w:eastAsia="zh-CN"/>
              </w:rPr>
            </w:pPr>
            <w:r>
              <w:rPr>
                <w:rFonts w:hint="eastAsia" w:ascii="Times New Roman" w:hAnsi="Times New Roman" w:eastAsia="宋体" w:cs="Times New Roman"/>
                <w:color w:val="000000"/>
                <w:kern w:val="0"/>
                <w:szCs w:val="21"/>
                <w:lang w:val="en-US" w:eastAsia="zh-CN"/>
              </w:rPr>
              <w:t>1.47</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c>
          <w:tcPr>
            <w:tcW w:w="1335" w:type="dxa"/>
            <w:tcBorders>
              <w:tl2br w:val="nil"/>
              <w:tr2bl w:val="nil"/>
            </w:tcBorders>
            <w:vAlign w:val="center"/>
          </w:tcPr>
          <w:p>
            <w:pPr>
              <w:adjustRightInd w:val="0"/>
              <w:snapToGrid w:val="0"/>
              <w:spacing w:line="260" w:lineRule="exact"/>
              <w:jc w:val="center"/>
              <w:textAlignment w:val="baseline"/>
              <w:rPr>
                <w:rFonts w:hint="eastAsia" w:ascii="Times New Roman" w:hAnsi="Times New Roman" w:eastAsia="宋体" w:cs="Times New Roman"/>
                <w:b/>
                <w:bCs/>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restart"/>
            <w:tcBorders>
              <w:tl2br w:val="nil"/>
              <w:tr2bl w:val="nil"/>
            </w:tcBorders>
            <w:vAlign w:val="center"/>
          </w:tcPr>
          <w:p>
            <w:pPr>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喷漆废气</w:t>
            </w:r>
            <w:r>
              <w:rPr>
                <w:rFonts w:ascii="Times New Roman" w:hAnsi="Times New Roman" w:eastAsia="宋体" w:cs="Times New Roman"/>
                <w:bCs/>
                <w:szCs w:val="21"/>
              </w:rPr>
              <w:t>出口</w:t>
            </w:r>
          </w:p>
        </w:tc>
        <w:tc>
          <w:tcPr>
            <w:tcW w:w="3810"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7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33</w:t>
            </w:r>
            <w:r>
              <w:rPr>
                <w:rFonts w:hint="eastAsia" w:ascii="Times New Roman" w:hAnsi="Times New Roman" w:eastAsia="宋体" w:cs="Times New Roman"/>
                <w:szCs w:val="21"/>
              </w:rPr>
              <w:t>439</w:t>
            </w:r>
          </w:p>
        </w:tc>
        <w:tc>
          <w:tcPr>
            <w:tcW w:w="1125"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33</w:t>
            </w:r>
            <w:r>
              <w:rPr>
                <w:rFonts w:hint="eastAsia" w:ascii="Times New Roman" w:hAnsi="Times New Roman" w:eastAsia="宋体" w:cs="Times New Roman"/>
                <w:szCs w:val="21"/>
              </w:rPr>
              <w:t>891</w:t>
            </w:r>
          </w:p>
        </w:tc>
        <w:tc>
          <w:tcPr>
            <w:tcW w:w="1155" w:type="dxa"/>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34343</w:t>
            </w:r>
          </w:p>
        </w:tc>
        <w:tc>
          <w:tcPr>
            <w:tcW w:w="1335"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3810"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70"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r>
              <w:rPr>
                <w:rFonts w:hint="eastAsia" w:ascii="Times New Roman" w:hAnsi="Times New Roman" w:eastAsia="宋体" w:cs="Times New Roman"/>
                <w:szCs w:val="21"/>
              </w:rPr>
              <w:t>4</w:t>
            </w:r>
          </w:p>
        </w:tc>
        <w:tc>
          <w:tcPr>
            <w:tcW w:w="1125"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r>
              <w:rPr>
                <w:rFonts w:hint="eastAsia" w:ascii="Times New Roman" w:hAnsi="Times New Roman" w:eastAsia="宋体" w:cs="Times New Roman"/>
                <w:szCs w:val="21"/>
              </w:rPr>
              <w:t>5</w:t>
            </w:r>
          </w:p>
        </w:tc>
        <w:tc>
          <w:tcPr>
            <w:tcW w:w="1155"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r>
              <w:rPr>
                <w:rFonts w:hint="eastAsia" w:ascii="Times New Roman" w:hAnsi="Times New Roman" w:eastAsia="宋体" w:cs="Times New Roman"/>
                <w:szCs w:val="21"/>
              </w:rPr>
              <w:t>6</w:t>
            </w:r>
          </w:p>
        </w:tc>
        <w:tc>
          <w:tcPr>
            <w:tcW w:w="1335" w:type="dxa"/>
            <w:tcBorders>
              <w:tl2br w:val="nil"/>
              <w:tr2bl w:val="nil"/>
            </w:tcBorders>
            <w:vAlign w:val="center"/>
          </w:tcPr>
          <w:p>
            <w:pPr>
              <w:widowControl/>
              <w:adjustRightInd w:val="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widowControl/>
              <w:adjustRightInd w:val="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rPr>
              <w:t>1.</w:t>
            </w:r>
            <w:r>
              <w:rPr>
                <w:rFonts w:hint="eastAsia" w:ascii="Times New Roman" w:hAnsi="Times New Roman" w:eastAsia="宋体" w:cs="Times New Roman"/>
                <w:color w:val="000000"/>
                <w:kern w:val="0"/>
                <w:szCs w:val="21"/>
              </w:rPr>
              <w:t>47</w:t>
            </w:r>
            <w:r>
              <w:rPr>
                <w:rFonts w:ascii="Times New Roman" w:hAnsi="Times New Roman" w:eastAsia="宋体" w:cs="Times New Roman"/>
                <w:color w:val="000000"/>
                <w:kern w:val="0"/>
                <w:szCs w:val="21"/>
              </w:rPr>
              <w:t xml:space="preserve"> </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0.97</w:t>
            </w:r>
            <w:r>
              <w:rPr>
                <w:rFonts w:ascii="Times New Roman" w:hAnsi="Times New Roman" w:eastAsia="宋体" w:cs="Times New Roman"/>
                <w:color w:val="000000"/>
                <w:kern w:val="0"/>
                <w:szCs w:val="21"/>
              </w:rPr>
              <w:t xml:space="preserve"> </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rPr>
              <w:t>1.</w:t>
            </w:r>
            <w:r>
              <w:rPr>
                <w:rFonts w:hint="eastAsia" w:ascii="Times New Roman" w:hAnsi="Times New Roman" w:eastAsia="宋体" w:cs="Times New Roman"/>
                <w:color w:val="000000"/>
                <w:kern w:val="0"/>
                <w:szCs w:val="21"/>
              </w:rPr>
              <w:t>13</w:t>
            </w:r>
            <w:r>
              <w:rPr>
                <w:rFonts w:ascii="Times New Roman" w:hAnsi="Times New Roman" w:eastAsia="宋体" w:cs="Times New Roman"/>
                <w:color w:val="000000"/>
                <w:kern w:val="0"/>
                <w:szCs w:val="21"/>
              </w:rPr>
              <w:t xml:space="preserve"> </w:t>
            </w:r>
          </w:p>
        </w:tc>
        <w:tc>
          <w:tcPr>
            <w:tcW w:w="133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60</w:t>
            </w:r>
          </w:p>
        </w:tc>
        <w:tc>
          <w:tcPr>
            <w:tcW w:w="1335" w:type="dxa"/>
            <w:vMerge w:val="restart"/>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rPr>
              <w:t>4.</w:t>
            </w:r>
            <w:r>
              <w:rPr>
                <w:rFonts w:hint="eastAsia" w:ascii="Times New Roman" w:hAnsi="Times New Roman" w:eastAsia="宋体" w:cs="Times New Roman"/>
                <w:color w:val="000000"/>
                <w:kern w:val="0"/>
                <w:szCs w:val="21"/>
              </w:rPr>
              <w:t>92</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3.29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3.88</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3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1.5</w:t>
            </w:r>
          </w:p>
        </w:tc>
        <w:tc>
          <w:tcPr>
            <w:tcW w:w="1335" w:type="dxa"/>
            <w:vMerge w:val="continue"/>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2.3</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1.4</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1.9</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120</w:t>
            </w:r>
          </w:p>
        </w:tc>
        <w:tc>
          <w:tcPr>
            <w:tcW w:w="1335" w:type="dxa"/>
            <w:vMerge w:val="restart"/>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7.69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rPr>
              <w:t>4.</w:t>
            </w:r>
            <w:r>
              <w:rPr>
                <w:rFonts w:hint="eastAsia" w:ascii="Times New Roman" w:hAnsi="Times New Roman" w:eastAsia="宋体" w:cs="Times New Roman"/>
                <w:color w:val="000000"/>
                <w:kern w:val="0"/>
                <w:szCs w:val="21"/>
              </w:rPr>
              <w:t>74</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rPr>
              <w:t>6</w:t>
            </w:r>
            <w:r>
              <w:rPr>
                <w:rFonts w:hint="eastAsia" w:ascii="Times New Roman" w:hAnsi="Times New Roman" w:eastAsia="宋体" w:cs="Times New Roman"/>
                <w:color w:val="000000"/>
                <w:kern w:val="0"/>
                <w:szCs w:val="21"/>
              </w:rPr>
              <w:t>.53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-2</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3.5</w:t>
            </w:r>
          </w:p>
        </w:tc>
        <w:tc>
          <w:tcPr>
            <w:tcW w:w="1335" w:type="dxa"/>
            <w:vMerge w:val="continue"/>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bCs/>
                <w:szCs w:val="21"/>
              </w:rPr>
              <w:t>烘干废气排气筒</w:t>
            </w:r>
          </w:p>
        </w:tc>
        <w:tc>
          <w:tcPr>
            <w:tcW w:w="1112" w:type="dxa"/>
            <w:gridSpan w:val="2"/>
            <w:vMerge w:val="restart"/>
            <w:tcBorders>
              <w:tl2br w:val="nil"/>
              <w:tr2bl w:val="nil"/>
            </w:tcBorders>
            <w:vAlign w:val="center"/>
          </w:tcPr>
          <w:p>
            <w:pPr>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烘干废气进口</w:t>
            </w:r>
          </w:p>
        </w:tc>
        <w:tc>
          <w:tcPr>
            <w:tcW w:w="3810"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70" w:type="dxa"/>
            <w:tcBorders>
              <w:tl2br w:val="nil"/>
              <w:tr2bl w:val="nil"/>
            </w:tcBorders>
            <w:vAlign w:val="center"/>
          </w:tcPr>
          <w:p>
            <w:pPr>
              <w:adjustRightInd w:val="0"/>
              <w:jc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3748</w:t>
            </w:r>
          </w:p>
        </w:tc>
        <w:tc>
          <w:tcPr>
            <w:tcW w:w="1125" w:type="dxa"/>
            <w:tcBorders>
              <w:tl2br w:val="nil"/>
              <w:tr2bl w:val="nil"/>
            </w:tcBorders>
            <w:vAlign w:val="center"/>
          </w:tcPr>
          <w:p>
            <w:pPr>
              <w:adjustRightInd w:val="0"/>
              <w:jc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3727</w:t>
            </w:r>
          </w:p>
        </w:tc>
        <w:tc>
          <w:tcPr>
            <w:tcW w:w="1155" w:type="dxa"/>
            <w:tcBorders>
              <w:tl2br w:val="nil"/>
              <w:tr2bl w:val="nil"/>
            </w:tcBorders>
            <w:vAlign w:val="center"/>
          </w:tcPr>
          <w:p>
            <w:pPr>
              <w:adjustRightInd w:val="0"/>
              <w:jc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3716</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3810"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70" w:type="dxa"/>
            <w:tcBorders>
              <w:tl2br w:val="nil"/>
              <w:tr2bl w:val="nil"/>
            </w:tcBorders>
            <w:vAlign w:val="center"/>
          </w:tcPr>
          <w:p>
            <w:pPr>
              <w:widowControl/>
              <w:adjustRightInd w:val="0"/>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35.4</w:t>
            </w:r>
          </w:p>
        </w:tc>
        <w:tc>
          <w:tcPr>
            <w:tcW w:w="1125" w:type="dxa"/>
            <w:tcBorders>
              <w:tl2br w:val="nil"/>
              <w:tr2bl w:val="nil"/>
            </w:tcBorders>
            <w:vAlign w:val="center"/>
          </w:tcPr>
          <w:p>
            <w:pPr>
              <w:widowControl/>
              <w:adjustRightInd w:val="0"/>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35.2</w:t>
            </w:r>
          </w:p>
        </w:tc>
        <w:tc>
          <w:tcPr>
            <w:tcW w:w="1155" w:type="dxa"/>
            <w:tcBorders>
              <w:tl2br w:val="nil"/>
              <w:tr2bl w:val="nil"/>
            </w:tcBorders>
            <w:vAlign w:val="center"/>
          </w:tcPr>
          <w:p>
            <w:pPr>
              <w:widowControl/>
              <w:adjustRightInd w:val="0"/>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35.1</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0.837</w:t>
            </w:r>
          </w:p>
        </w:tc>
        <w:tc>
          <w:tcPr>
            <w:tcW w:w="1125"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rPr>
            </w:pPr>
            <w:r>
              <w:rPr>
                <w:rFonts w:hint="eastAsia" w:ascii="Times New Roman" w:hAnsi="Times New Roman" w:eastAsia="宋体" w:cs="Times New Roman"/>
                <w:szCs w:val="21"/>
                <w:lang w:val="en-US" w:eastAsia="zh-CN"/>
              </w:rPr>
              <w:t>0.727</w:t>
            </w:r>
          </w:p>
        </w:tc>
        <w:tc>
          <w:tcPr>
            <w:tcW w:w="1155"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eastAsia="zh-CN"/>
              </w:rPr>
            </w:pPr>
            <w:r>
              <w:rPr>
                <w:rFonts w:hint="eastAsia" w:ascii="Times New Roman" w:hAnsi="Times New Roman" w:eastAsia="宋体" w:cs="Times New Roman"/>
                <w:szCs w:val="21"/>
                <w:lang w:val="en-US" w:eastAsia="zh-CN"/>
              </w:rPr>
              <w:t>0.907</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lang w:val="en-US" w:eastAsia="zh-CN"/>
              </w:rPr>
              <w:t>3.65</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lang w:val="en-US" w:eastAsia="zh-CN"/>
              </w:rPr>
              <w:t>3.11</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lang w:val="en-US" w:eastAsia="zh-CN"/>
              </w:rPr>
              <w:t>3.99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rPr>
            </w:pP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restart"/>
            <w:tcBorders>
              <w:tl2br w:val="nil"/>
              <w:tr2bl w:val="nil"/>
            </w:tcBorders>
            <w:vAlign w:val="center"/>
          </w:tcPr>
          <w:p>
            <w:pPr>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烘干废气</w:t>
            </w:r>
            <w:r>
              <w:rPr>
                <w:rFonts w:ascii="Times New Roman" w:hAnsi="Times New Roman" w:eastAsia="宋体" w:cs="Times New Roman"/>
                <w:bCs/>
                <w:szCs w:val="21"/>
              </w:rPr>
              <w:t>出口</w:t>
            </w:r>
          </w:p>
        </w:tc>
        <w:tc>
          <w:tcPr>
            <w:tcW w:w="3810"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标干流量（Nm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117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51</w:t>
            </w:r>
            <w:r>
              <w:rPr>
                <w:rFonts w:hint="eastAsia" w:ascii="Times New Roman" w:hAnsi="Times New Roman" w:eastAsia="宋体" w:cs="Times New Roman"/>
                <w:szCs w:val="21"/>
              </w:rPr>
              <w:t>25</w:t>
            </w:r>
          </w:p>
        </w:tc>
        <w:tc>
          <w:tcPr>
            <w:tcW w:w="1125"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5</w:t>
            </w:r>
            <w:r>
              <w:rPr>
                <w:rFonts w:hint="eastAsia" w:ascii="Times New Roman" w:hAnsi="Times New Roman" w:eastAsia="宋体" w:cs="Times New Roman"/>
                <w:szCs w:val="21"/>
              </w:rPr>
              <w:t>042</w:t>
            </w:r>
          </w:p>
        </w:tc>
        <w:tc>
          <w:tcPr>
            <w:tcW w:w="1155"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5</w:t>
            </w:r>
            <w:r>
              <w:rPr>
                <w:rFonts w:hint="eastAsia" w:ascii="Times New Roman" w:hAnsi="Times New Roman" w:eastAsia="宋体" w:cs="Times New Roman"/>
                <w:szCs w:val="21"/>
              </w:rPr>
              <w:t>167</w:t>
            </w:r>
          </w:p>
        </w:tc>
        <w:tc>
          <w:tcPr>
            <w:tcW w:w="1335"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adjustRightInd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adjustRightInd w:val="0"/>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jc w:val="center"/>
              <w:rPr>
                <w:rFonts w:ascii="Times New Roman" w:hAnsi="Times New Roman" w:eastAsia="宋体" w:cs="Times New Roman"/>
                <w:bCs/>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3810" w:type="dxa"/>
            <w:gridSpan w:val="2"/>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废气流速（m/s）</w:t>
            </w:r>
          </w:p>
        </w:tc>
        <w:tc>
          <w:tcPr>
            <w:tcW w:w="1170"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12.</w:t>
            </w:r>
            <w:r>
              <w:rPr>
                <w:rFonts w:hint="eastAsia" w:ascii="Times New Roman" w:hAnsi="Times New Roman" w:eastAsia="宋体" w:cs="Times New Roman"/>
                <w:szCs w:val="21"/>
              </w:rPr>
              <w:t>3</w:t>
            </w:r>
          </w:p>
        </w:tc>
        <w:tc>
          <w:tcPr>
            <w:tcW w:w="1125"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12.1</w:t>
            </w:r>
          </w:p>
        </w:tc>
        <w:tc>
          <w:tcPr>
            <w:tcW w:w="1155" w:type="dxa"/>
            <w:tcBorders>
              <w:tl2br w:val="nil"/>
              <w:tr2bl w:val="nil"/>
            </w:tcBorders>
            <w:vAlign w:val="center"/>
          </w:tcPr>
          <w:p>
            <w:pPr>
              <w:widowControl/>
              <w:adjustRightInd w:val="0"/>
              <w:jc w:val="center"/>
              <w:textAlignment w:val="center"/>
              <w:rPr>
                <w:rFonts w:ascii="Times New Roman" w:hAnsi="Times New Roman" w:eastAsia="宋体" w:cs="Times New Roman"/>
                <w:szCs w:val="21"/>
              </w:rPr>
            </w:pPr>
            <w:r>
              <w:rPr>
                <w:rFonts w:ascii="Times New Roman" w:hAnsi="Times New Roman" w:eastAsia="宋体" w:cs="Times New Roman"/>
                <w:szCs w:val="21"/>
              </w:rPr>
              <w:t>12.</w:t>
            </w:r>
            <w:r>
              <w:rPr>
                <w:rFonts w:hint="eastAsia" w:ascii="Times New Roman" w:hAnsi="Times New Roman" w:eastAsia="宋体" w:cs="Times New Roman"/>
                <w:szCs w:val="21"/>
              </w:rPr>
              <w:t>4</w:t>
            </w:r>
          </w:p>
        </w:tc>
        <w:tc>
          <w:tcPr>
            <w:tcW w:w="1335" w:type="dxa"/>
            <w:tcBorders>
              <w:tl2br w:val="nil"/>
              <w:tr2bl w:val="nil"/>
            </w:tcBorders>
            <w:vAlign w:val="center"/>
          </w:tcPr>
          <w:p>
            <w:pPr>
              <w:widowControl/>
              <w:adjustRightInd w:val="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335" w:type="dxa"/>
            <w:tcBorders>
              <w:tl2br w:val="nil"/>
              <w:tr2bl w:val="nil"/>
            </w:tcBorders>
            <w:vAlign w:val="center"/>
          </w:tcPr>
          <w:p>
            <w:pPr>
              <w:widowControl/>
              <w:adjustRightInd w:val="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挥发性有机物</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0.837</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0.727</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0.907</w:t>
            </w:r>
          </w:p>
        </w:tc>
        <w:tc>
          <w:tcPr>
            <w:tcW w:w="1335" w:type="dxa"/>
            <w:tcBorders>
              <w:tl2br w:val="nil"/>
              <w:tr2bl w:val="nil"/>
            </w:tcBorders>
            <w:vAlign w:val="center"/>
          </w:tcPr>
          <w:p>
            <w:pPr>
              <w:widowControl/>
              <w:jc w:val="center"/>
              <w:textAlignment w:val="center"/>
              <w:rPr>
                <w:rFonts w:hint="default" w:ascii="Times New Roman" w:hAnsi="Times New Roman" w:eastAsia="宋体" w:cs="Times New Roman"/>
                <w:color w:val="000000"/>
                <w:kern w:val="0"/>
                <w:szCs w:val="21"/>
                <w:lang w:val="en-US" w:eastAsia="zh-CN"/>
              </w:rPr>
            </w:pPr>
            <w:r>
              <w:rPr>
                <w:rFonts w:hint="eastAsia" w:ascii="Times New Roman" w:hAnsi="Times New Roman" w:eastAsia="宋体" w:cs="Times New Roman"/>
                <w:color w:val="000000"/>
                <w:kern w:val="0"/>
                <w:szCs w:val="21"/>
                <w:lang w:val="en-US" w:eastAsia="zh-CN"/>
              </w:rPr>
              <w:t>46.04</w:t>
            </w:r>
          </w:p>
        </w:tc>
        <w:tc>
          <w:tcPr>
            <w:tcW w:w="1335" w:type="dxa"/>
            <w:vMerge w:val="restart"/>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lang w:val="en-US" w:eastAsia="zh-CN"/>
              </w:rPr>
              <w:t>3.65</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3.</w:t>
            </w:r>
            <w:r>
              <w:rPr>
                <w:rFonts w:hint="eastAsia" w:ascii="Times New Roman" w:hAnsi="Times New Roman" w:eastAsia="宋体" w:cs="Times New Roman"/>
                <w:color w:val="000000"/>
                <w:kern w:val="0"/>
                <w:szCs w:val="21"/>
                <w:lang w:val="en-US" w:eastAsia="zh-CN"/>
              </w:rPr>
              <w:t>11</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lang w:val="en-US" w:eastAsia="zh-CN"/>
              </w:rPr>
              <w:t>3.99</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-3</w:t>
            </w:r>
          </w:p>
        </w:tc>
        <w:tc>
          <w:tcPr>
            <w:tcW w:w="1335" w:type="dxa"/>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1.5</w:t>
            </w:r>
          </w:p>
        </w:tc>
        <w:tc>
          <w:tcPr>
            <w:tcW w:w="1335" w:type="dxa"/>
            <w:vMerge w:val="continue"/>
            <w:tcBorders>
              <w:tl2br w:val="nil"/>
              <w:tr2bl w:val="nil"/>
            </w:tcBorders>
            <w:vAlign w:val="center"/>
          </w:tcPr>
          <w:p>
            <w:pPr>
              <w:widowControl/>
              <w:jc w:val="center"/>
              <w:textAlignment w:val="center"/>
              <w:rPr>
                <w:rFonts w:ascii="Times New Roman" w:hAnsi="Times New Roman" w:eastAsia="宋体" w:cs="Times New Roman"/>
                <w:color w:val="000000"/>
                <w:kern w:val="0"/>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乙酸丁酯</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丁醇</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restart"/>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color w:val="000000"/>
                <w:kern w:val="0"/>
                <w:szCs w:val="21"/>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Cs w:val="21"/>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335"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Cs w:val="21"/>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Cs w:val="21"/>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Cs w:val="21"/>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排放浓度（mg/m3）</w:t>
            </w:r>
          </w:p>
        </w:tc>
        <w:tc>
          <w:tcPr>
            <w:tcW w:w="1170"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1.58</w:t>
            </w:r>
          </w:p>
        </w:tc>
        <w:tc>
          <w:tcPr>
            <w:tcW w:w="1335" w:type="dxa"/>
            <w:vMerge w:val="restart"/>
            <w:tcBorders>
              <w:tl2br w:val="nil"/>
              <w:tr2bl w:val="nil"/>
            </w:tcBorders>
            <w:vAlign w:val="center"/>
          </w:tcPr>
          <w:p>
            <w:pPr>
              <w:widowControl/>
              <w:jc w:val="center"/>
              <w:textAlignment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 w:val="24"/>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 w:val="24"/>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 w:val="24"/>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 w:val="24"/>
              </w:rPr>
            </w:pPr>
          </w:p>
        </w:tc>
        <w:tc>
          <w:tcPr>
            <w:tcW w:w="2100" w:type="dxa"/>
            <w:tcBorders>
              <w:tl2br w:val="nil"/>
              <w:tr2bl w:val="nil"/>
            </w:tcBorders>
            <w:vAlign w:val="center"/>
          </w:tcPr>
          <w:p>
            <w:pPr>
              <w:adjustRightInd w:val="0"/>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 w:val="24"/>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 w:val="24"/>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 w:val="24"/>
              </w:rPr>
              <w:t>/</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 w:val="24"/>
                <w:lang w:eastAsia="zh-CN"/>
              </w:rPr>
            </w:pPr>
            <w:r>
              <w:rPr>
                <w:rFonts w:hint="eastAsia" w:ascii="Times New Roman" w:hAnsi="Times New Roman" w:eastAsia="宋体" w:cs="Times New Roman"/>
                <w:sz w:val="24"/>
                <w:lang w:val="en-US" w:eastAsia="zh-CN"/>
              </w:rPr>
              <w:t>/</w:t>
            </w:r>
          </w:p>
        </w:tc>
        <w:tc>
          <w:tcPr>
            <w:tcW w:w="1335" w:type="dxa"/>
            <w:vMerge w:val="continue"/>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 w:val="24"/>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 w:val="24"/>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 w:val="24"/>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sz w:val="24"/>
              </w:rPr>
            </w:pPr>
            <w:r>
              <w:rPr>
                <w:rFonts w:hint="eastAsia" w:ascii="Times New Roman" w:hAnsi="Times New Roman" w:eastAsia="宋体" w:cs="Times New Roman"/>
                <w:szCs w:val="21"/>
                <w:lang w:val="en-US" w:eastAsia="zh-CN"/>
              </w:rPr>
              <w:t>二氧化硫</w:t>
            </w:r>
          </w:p>
        </w:tc>
        <w:tc>
          <w:tcPr>
            <w:tcW w:w="2100" w:type="dxa"/>
            <w:tcBorders>
              <w:tl2br w:val="nil"/>
              <w:tr2bl w:val="nil"/>
            </w:tcBorders>
            <w:vAlign w:val="center"/>
          </w:tcPr>
          <w:p>
            <w:pPr>
              <w:adjustRightInd w:val="0"/>
              <w:jc w:val="center"/>
              <w:rPr>
                <w:rFonts w:ascii="Times New Roman" w:hAnsi="Times New Roman" w:eastAsia="宋体" w:cs="Times New Roman"/>
                <w:sz w:val="24"/>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Cs w:val="21"/>
              </w:rPr>
              <w:t>ND</w:t>
            </w:r>
          </w:p>
        </w:tc>
        <w:tc>
          <w:tcPr>
            <w:tcW w:w="112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Cs w:val="21"/>
              </w:rPr>
              <w:t>ND</w:t>
            </w:r>
          </w:p>
        </w:tc>
        <w:tc>
          <w:tcPr>
            <w:tcW w:w="115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Cs w:val="21"/>
              </w:rPr>
              <w:t>ND</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 w:val="24"/>
              </w:rPr>
            </w:pPr>
            <w:r>
              <w:rPr>
                <w:rFonts w:hint="eastAsia" w:ascii="Times New Roman" w:hAnsi="Times New Roman" w:eastAsia="宋体" w:cs="Times New Roman"/>
                <w:szCs w:val="21"/>
                <w:lang w:val="en-US" w:eastAsia="zh-CN"/>
              </w:rPr>
              <w:t>3.96</w:t>
            </w:r>
          </w:p>
        </w:tc>
        <w:tc>
          <w:tcPr>
            <w:tcW w:w="1335" w:type="dxa"/>
            <w:vMerge w:val="restart"/>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Cs w:val="21"/>
                <w:lang w:eastAsia="zh-CN"/>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 w:val="24"/>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 w:val="24"/>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 w:val="24"/>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 w:val="24"/>
              </w:rPr>
            </w:pPr>
          </w:p>
        </w:tc>
        <w:tc>
          <w:tcPr>
            <w:tcW w:w="2100" w:type="dxa"/>
            <w:tcBorders>
              <w:tl2br w:val="nil"/>
              <w:tr2bl w:val="nil"/>
            </w:tcBorders>
            <w:vAlign w:val="center"/>
          </w:tcPr>
          <w:p>
            <w:pPr>
              <w:adjustRightInd w:val="0"/>
              <w:jc w:val="center"/>
              <w:rPr>
                <w:rFonts w:ascii="Times New Roman" w:hAnsi="Times New Roman" w:eastAsia="宋体" w:cs="Times New Roman"/>
                <w:sz w:val="24"/>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Cs w:val="21"/>
              </w:rPr>
              <w:t>/</w:t>
            </w:r>
          </w:p>
        </w:tc>
        <w:tc>
          <w:tcPr>
            <w:tcW w:w="112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Cs w:val="21"/>
              </w:rPr>
              <w:t>/</w:t>
            </w:r>
          </w:p>
        </w:tc>
        <w:tc>
          <w:tcPr>
            <w:tcW w:w="115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ascii="Times New Roman" w:hAnsi="Times New Roman" w:eastAsia="宋体" w:cs="Times New Roman"/>
                <w:szCs w:val="21"/>
              </w:rPr>
              <w:t>/</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 w:val="24"/>
              </w:rPr>
            </w:pPr>
            <w:r>
              <w:rPr>
                <w:rFonts w:hint="eastAsia" w:ascii="Times New Roman" w:hAnsi="Times New Roman" w:eastAsia="宋体" w:cs="Times New Roman"/>
                <w:szCs w:val="21"/>
                <w:lang w:val="en-US" w:eastAsia="zh-CN"/>
              </w:rPr>
              <w:t>/</w:t>
            </w:r>
          </w:p>
        </w:tc>
        <w:tc>
          <w:tcPr>
            <w:tcW w:w="1335" w:type="dxa"/>
            <w:vMerge w:val="continue"/>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 w:val="24"/>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 w:val="24"/>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 w:val="24"/>
              </w:rPr>
            </w:pPr>
          </w:p>
        </w:tc>
        <w:tc>
          <w:tcPr>
            <w:tcW w:w="1710" w:type="dxa"/>
            <w:vMerge w:val="restart"/>
            <w:tcBorders>
              <w:tl2br w:val="nil"/>
              <w:tr2bl w:val="nil"/>
            </w:tcBorders>
            <w:vAlign w:val="center"/>
          </w:tcPr>
          <w:p>
            <w:pPr>
              <w:adjustRightInd w:val="0"/>
              <w:jc w:val="center"/>
              <w:rPr>
                <w:rFonts w:ascii="Times New Roman" w:hAnsi="Times New Roman" w:eastAsia="宋体" w:cs="Times New Roman"/>
                <w:sz w:val="24"/>
              </w:rPr>
            </w:pPr>
            <w:r>
              <w:rPr>
                <w:rFonts w:hint="eastAsia" w:ascii="Times New Roman" w:hAnsi="Times New Roman" w:eastAsia="宋体" w:cs="Times New Roman"/>
                <w:szCs w:val="21"/>
                <w:lang w:val="en-US" w:eastAsia="zh-CN"/>
              </w:rPr>
              <w:t>氮氧化物</w:t>
            </w:r>
          </w:p>
        </w:tc>
        <w:tc>
          <w:tcPr>
            <w:tcW w:w="2100" w:type="dxa"/>
            <w:tcBorders>
              <w:tl2br w:val="nil"/>
              <w:tr2bl w:val="nil"/>
            </w:tcBorders>
            <w:vAlign w:val="center"/>
          </w:tcPr>
          <w:p>
            <w:pPr>
              <w:adjustRightInd w:val="0"/>
              <w:jc w:val="center"/>
              <w:rPr>
                <w:rFonts w:ascii="Times New Roman" w:hAnsi="Times New Roman" w:eastAsia="宋体" w:cs="Times New Roman"/>
                <w:sz w:val="24"/>
              </w:rPr>
            </w:pPr>
            <w:r>
              <w:rPr>
                <w:rFonts w:ascii="Times New Roman" w:hAnsi="Times New Roman" w:eastAsia="宋体" w:cs="Times New Roman"/>
                <w:szCs w:val="21"/>
              </w:rPr>
              <w:t>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70" w:type="dxa"/>
            <w:tcBorders>
              <w:tl2br w:val="nil"/>
              <w:tr2bl w:val="nil"/>
            </w:tcBorders>
            <w:vAlign w:val="center"/>
          </w:tcPr>
          <w:p>
            <w:pPr>
              <w:widowControl/>
              <w:jc w:val="center"/>
              <w:textAlignment w:val="center"/>
              <w:rPr>
                <w:rFonts w:hint="default" w:ascii="Times New Roman" w:hAnsi="Times New Roman" w:eastAsia="宋体" w:cs="Times New Roman"/>
                <w:sz w:val="24"/>
                <w:lang w:val="en-US"/>
              </w:rPr>
            </w:pPr>
            <w:r>
              <w:rPr>
                <w:rFonts w:hint="eastAsia" w:ascii="Times New Roman" w:hAnsi="Times New Roman" w:eastAsia="宋体" w:cs="Times New Roman"/>
                <w:szCs w:val="21"/>
                <w:lang w:val="en-US" w:eastAsia="zh-CN"/>
              </w:rPr>
              <w:t>12</w:t>
            </w:r>
          </w:p>
        </w:tc>
        <w:tc>
          <w:tcPr>
            <w:tcW w:w="1125" w:type="dxa"/>
            <w:tcBorders>
              <w:tl2br w:val="nil"/>
              <w:tr2bl w:val="nil"/>
            </w:tcBorders>
            <w:vAlign w:val="center"/>
          </w:tcPr>
          <w:p>
            <w:pPr>
              <w:widowControl/>
              <w:jc w:val="center"/>
              <w:textAlignment w:val="center"/>
              <w:rPr>
                <w:rFonts w:hint="default" w:ascii="Times New Roman" w:hAnsi="Times New Roman" w:eastAsia="宋体" w:cs="Times New Roman"/>
                <w:sz w:val="24"/>
                <w:lang w:val="en-US"/>
              </w:rPr>
            </w:pPr>
            <w:r>
              <w:rPr>
                <w:rFonts w:hint="eastAsia" w:ascii="Times New Roman" w:hAnsi="Times New Roman" w:eastAsia="宋体" w:cs="Times New Roman"/>
                <w:szCs w:val="21"/>
                <w:lang w:val="en-US" w:eastAsia="zh-CN"/>
              </w:rPr>
              <w:t>10</w:t>
            </w:r>
          </w:p>
        </w:tc>
        <w:tc>
          <w:tcPr>
            <w:tcW w:w="1155" w:type="dxa"/>
            <w:tcBorders>
              <w:tl2br w:val="nil"/>
              <w:tr2bl w:val="nil"/>
            </w:tcBorders>
            <w:vAlign w:val="center"/>
          </w:tcPr>
          <w:p>
            <w:pPr>
              <w:widowControl/>
              <w:jc w:val="center"/>
              <w:textAlignment w:val="center"/>
              <w:rPr>
                <w:rFonts w:ascii="Times New Roman" w:hAnsi="Times New Roman" w:eastAsia="宋体" w:cs="Times New Roman"/>
                <w:sz w:val="24"/>
              </w:rPr>
            </w:pPr>
            <w:r>
              <w:rPr>
                <w:rFonts w:hint="eastAsia" w:ascii="Times New Roman" w:hAnsi="Times New Roman" w:eastAsia="宋体" w:cs="Times New Roman"/>
                <w:szCs w:val="21"/>
                <w:lang w:val="en-US" w:eastAsia="zh-CN"/>
              </w:rPr>
              <w:t>9</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 w:val="24"/>
              </w:rPr>
            </w:pPr>
            <w:r>
              <w:rPr>
                <w:rFonts w:hint="eastAsia" w:ascii="Times New Roman" w:hAnsi="Times New Roman" w:eastAsia="宋体" w:cs="Times New Roman"/>
                <w:szCs w:val="21"/>
                <w:lang w:val="en-US" w:eastAsia="zh-CN"/>
              </w:rPr>
              <w:t>15.84</w:t>
            </w:r>
          </w:p>
        </w:tc>
        <w:tc>
          <w:tcPr>
            <w:tcW w:w="1335" w:type="dxa"/>
            <w:vMerge w:val="restart"/>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Cs w:val="21"/>
                <w:lang w:eastAsia="zh-CN"/>
              </w:rPr>
              <w:t>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371" w:type="dxa"/>
            <w:vMerge w:val="continue"/>
            <w:tcBorders>
              <w:tl2br w:val="nil"/>
              <w:tr2bl w:val="nil"/>
            </w:tcBorders>
            <w:vAlign w:val="center"/>
          </w:tcPr>
          <w:p>
            <w:pPr>
              <w:jc w:val="center"/>
              <w:rPr>
                <w:rFonts w:ascii="Times New Roman" w:hAnsi="Times New Roman" w:eastAsia="宋体" w:cs="Times New Roman"/>
                <w:bCs/>
                <w:sz w:val="24"/>
              </w:rPr>
            </w:pPr>
          </w:p>
        </w:tc>
        <w:tc>
          <w:tcPr>
            <w:tcW w:w="1293" w:type="dxa"/>
            <w:vMerge w:val="continue"/>
            <w:tcBorders>
              <w:tl2br w:val="nil"/>
              <w:tr2bl w:val="nil"/>
            </w:tcBorders>
            <w:vAlign w:val="center"/>
          </w:tcPr>
          <w:p>
            <w:pPr>
              <w:widowControl/>
              <w:jc w:val="center"/>
              <w:textAlignment w:val="center"/>
              <w:rPr>
                <w:rFonts w:ascii="Times New Roman" w:hAnsi="Times New Roman" w:eastAsia="宋体" w:cs="Times New Roman"/>
                <w:sz w:val="24"/>
              </w:rPr>
            </w:pPr>
          </w:p>
        </w:tc>
        <w:tc>
          <w:tcPr>
            <w:tcW w:w="1112" w:type="dxa"/>
            <w:gridSpan w:val="2"/>
            <w:vMerge w:val="continue"/>
            <w:tcBorders>
              <w:tl2br w:val="nil"/>
              <w:tr2bl w:val="nil"/>
            </w:tcBorders>
            <w:vAlign w:val="center"/>
          </w:tcPr>
          <w:p>
            <w:pPr>
              <w:jc w:val="center"/>
              <w:rPr>
                <w:rFonts w:ascii="Times New Roman" w:hAnsi="Times New Roman" w:eastAsia="宋体" w:cs="Times New Roman"/>
                <w:bCs/>
                <w:sz w:val="24"/>
              </w:rPr>
            </w:pPr>
          </w:p>
        </w:tc>
        <w:tc>
          <w:tcPr>
            <w:tcW w:w="1710" w:type="dxa"/>
            <w:vMerge w:val="continue"/>
            <w:tcBorders>
              <w:tl2br w:val="nil"/>
              <w:tr2bl w:val="nil"/>
            </w:tcBorders>
            <w:vAlign w:val="center"/>
          </w:tcPr>
          <w:p>
            <w:pPr>
              <w:adjustRightInd w:val="0"/>
              <w:jc w:val="center"/>
              <w:rPr>
                <w:rFonts w:ascii="Times New Roman" w:hAnsi="Times New Roman" w:eastAsia="宋体" w:cs="Times New Roman"/>
                <w:sz w:val="24"/>
              </w:rPr>
            </w:pPr>
          </w:p>
        </w:tc>
        <w:tc>
          <w:tcPr>
            <w:tcW w:w="2100" w:type="dxa"/>
            <w:tcBorders>
              <w:tl2br w:val="nil"/>
              <w:tr2bl w:val="nil"/>
            </w:tcBorders>
            <w:vAlign w:val="center"/>
          </w:tcPr>
          <w:p>
            <w:pPr>
              <w:adjustRightInd w:val="0"/>
              <w:jc w:val="center"/>
              <w:rPr>
                <w:rFonts w:ascii="Times New Roman" w:hAnsi="Times New Roman" w:eastAsia="宋体" w:cs="Times New Roman"/>
                <w:sz w:val="24"/>
              </w:rPr>
            </w:pPr>
            <w:r>
              <w:rPr>
                <w:rFonts w:ascii="Times New Roman" w:hAnsi="Times New Roman" w:eastAsia="宋体" w:cs="Times New Roman"/>
                <w:szCs w:val="21"/>
              </w:rPr>
              <w:t>排放速率（kg/h）</w:t>
            </w:r>
          </w:p>
        </w:tc>
        <w:tc>
          <w:tcPr>
            <w:tcW w:w="1170" w:type="dxa"/>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Cs w:val="21"/>
                <w:lang w:val="en-US" w:eastAsia="zh-CN"/>
              </w:rPr>
              <w:t>5.23</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125" w:type="dxa"/>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Cs w:val="21"/>
                <w:lang w:val="en-US" w:eastAsia="zh-CN"/>
              </w:rPr>
              <w:t>4.28</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155" w:type="dxa"/>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Cs w:val="21"/>
                <w:lang w:val="en-US" w:eastAsia="zh-CN"/>
              </w:rPr>
              <w:t>3.96</w:t>
            </w:r>
            <w:r>
              <w:rPr>
                <w:rFonts w:ascii="Times New Roman" w:hAnsi="Times New Roman" w:eastAsia="宋体" w:cs="Times New Roman"/>
                <w:color w:val="000000"/>
                <w:kern w:val="0"/>
                <w:szCs w:val="21"/>
              </w:rPr>
              <w:t>×10</w:t>
            </w:r>
            <w:r>
              <w:rPr>
                <w:rFonts w:ascii="Times New Roman" w:hAnsi="Times New Roman" w:eastAsia="宋体" w:cs="Times New Roman"/>
                <w:color w:val="000000"/>
                <w:kern w:val="0"/>
                <w:szCs w:val="21"/>
                <w:vertAlign w:val="superscript"/>
              </w:rPr>
              <w:t>-</w:t>
            </w:r>
            <w:r>
              <w:rPr>
                <w:rFonts w:hint="eastAsia" w:ascii="Times New Roman" w:hAnsi="Times New Roman" w:eastAsia="宋体" w:cs="Times New Roman"/>
                <w:color w:val="000000"/>
                <w:kern w:val="0"/>
                <w:szCs w:val="21"/>
                <w:vertAlign w:val="superscript"/>
                <w:lang w:val="en-US" w:eastAsia="zh-CN"/>
              </w:rPr>
              <w:t>2</w:t>
            </w:r>
          </w:p>
        </w:tc>
        <w:tc>
          <w:tcPr>
            <w:tcW w:w="1335" w:type="dxa"/>
            <w:tcBorders>
              <w:tl2br w:val="nil"/>
              <w:tr2bl w:val="nil"/>
            </w:tcBorders>
            <w:vAlign w:val="center"/>
          </w:tcPr>
          <w:p>
            <w:pPr>
              <w:widowControl/>
              <w:jc w:val="center"/>
              <w:textAlignment w:val="center"/>
              <w:rPr>
                <w:rFonts w:hint="eastAsia" w:ascii="Times New Roman" w:hAnsi="Times New Roman" w:eastAsia="宋体" w:cs="Times New Roman"/>
                <w:sz w:val="24"/>
              </w:rPr>
            </w:pPr>
            <w:r>
              <w:rPr>
                <w:rFonts w:hint="eastAsia" w:ascii="Times New Roman" w:hAnsi="Times New Roman" w:eastAsia="宋体" w:cs="Times New Roman"/>
                <w:szCs w:val="21"/>
                <w:lang w:val="en-US" w:eastAsia="zh-CN"/>
              </w:rPr>
              <w:t>/</w:t>
            </w:r>
          </w:p>
        </w:tc>
        <w:tc>
          <w:tcPr>
            <w:tcW w:w="1335" w:type="dxa"/>
            <w:vMerge w:val="continue"/>
            <w:tcBorders>
              <w:tl2br w:val="nil"/>
              <w:tr2bl w:val="nil"/>
            </w:tcBorders>
            <w:vAlign w:val="center"/>
          </w:tcPr>
          <w:p>
            <w:pPr>
              <w:widowControl/>
              <w:jc w:val="center"/>
              <w:textAlignment w:val="center"/>
              <w:rPr>
                <w:rFonts w:hint="eastAsia" w:ascii="Times New Roman" w:hAnsi="Times New Roman" w:eastAsia="宋体" w:cs="Times New Roman"/>
                <w:sz w:val="24"/>
                <w:lang w:val="en-US" w:eastAsia="zh-CN"/>
              </w:rPr>
            </w:pPr>
          </w:p>
        </w:tc>
      </w:tr>
    </w:tbl>
    <w:p>
      <w:pPr>
        <w:pStyle w:val="9"/>
        <w:spacing w:line="360" w:lineRule="auto"/>
        <w:ind w:left="0"/>
        <w:rPr>
          <w:rFonts w:ascii="Times New Roman" w:hAnsi="Times New Roman" w:eastAsia="宋体" w:cs="宋体"/>
          <w:b/>
          <w:sz w:val="24"/>
          <w:szCs w:val="24"/>
        </w:rPr>
        <w:sectPr>
          <w:pgSz w:w="16838" w:h="11906" w:orient="landscape"/>
          <w:pgMar w:top="1417" w:right="1440" w:bottom="1417" w:left="1440" w:header="851" w:footer="992" w:gutter="0"/>
          <w:cols w:space="425" w:num="1"/>
          <w:docGrid w:type="lines" w:linePitch="312" w:charSpace="0"/>
        </w:sectPr>
      </w:pPr>
    </w:p>
    <w:p>
      <w:pPr>
        <w:keepNext/>
        <w:spacing w:line="360" w:lineRule="auto"/>
        <w:outlineLvl w:val="2"/>
        <w:rPr>
          <w:rFonts w:ascii="Times New Roman" w:hAnsi="Times New Roman" w:cs="Times New Roman"/>
          <w:b/>
          <w:bCs/>
          <w:sz w:val="24"/>
        </w:rPr>
      </w:pPr>
      <w:bookmarkStart w:id="326" w:name="_Toc1524"/>
      <w:r>
        <w:rPr>
          <w:rFonts w:ascii="Times New Roman" w:hAnsi="Times New Roman" w:cs="Times New Roman"/>
          <w:b/>
          <w:bCs/>
          <w:sz w:val="24"/>
        </w:rPr>
        <w:t>9.2.3无组织废气监测结果及评价</w:t>
      </w:r>
      <w:bookmarkEnd w:id="326"/>
    </w:p>
    <w:p>
      <w:pPr>
        <w:pStyle w:val="7"/>
        <w:bidi w:val="0"/>
      </w:pPr>
      <w:r>
        <w:t>表</w:t>
      </w:r>
      <w:r>
        <w:rPr>
          <w:rFonts w:hint="eastAsia"/>
          <w:lang w:eastAsia="zh-CN"/>
        </w:rPr>
        <w:t>9-4  无组织废气监测结果统计表</w:t>
      </w:r>
    </w:p>
    <w:tbl>
      <w:tblPr>
        <w:tblStyle w:val="23"/>
        <w:tblW w:w="14106" w:type="dxa"/>
        <w:jc w:val="center"/>
        <w:tblInd w:w="0" w:type="dxa"/>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354"/>
        <w:gridCol w:w="1336"/>
        <w:gridCol w:w="2400"/>
        <w:gridCol w:w="1401"/>
        <w:gridCol w:w="1401"/>
        <w:gridCol w:w="1400"/>
        <w:gridCol w:w="1401"/>
        <w:gridCol w:w="1402"/>
        <w:gridCol w:w="1010"/>
        <w:gridCol w:w="1001"/>
      </w:tblGrid>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336" w:hRule="atLeast"/>
          <w:jc w:val="center"/>
        </w:trPr>
        <w:tc>
          <w:tcPr>
            <w:tcW w:w="1354" w:type="dxa"/>
            <w:vMerge w:val="restart"/>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监测项目</w:t>
            </w:r>
          </w:p>
        </w:tc>
        <w:tc>
          <w:tcPr>
            <w:tcW w:w="1336" w:type="dxa"/>
            <w:vMerge w:val="restart"/>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监测日期</w:t>
            </w:r>
          </w:p>
        </w:tc>
        <w:tc>
          <w:tcPr>
            <w:tcW w:w="2400" w:type="dxa"/>
            <w:vMerge w:val="restart"/>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监测点位</w:t>
            </w:r>
          </w:p>
        </w:tc>
        <w:tc>
          <w:tcPr>
            <w:tcW w:w="7005" w:type="dxa"/>
            <w:gridSpan w:val="5"/>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监测结果（</w:t>
            </w:r>
            <w:r>
              <w:rPr>
                <w:rFonts w:ascii="Times New Roman" w:hAnsi="Times New Roman" w:cs="Times New Roman"/>
                <w:b/>
                <w:bCs/>
                <w:szCs w:val="21"/>
              </w:rPr>
              <w:t>mg/m</w:t>
            </w:r>
            <w:r>
              <w:rPr>
                <w:rFonts w:ascii="Times New Roman" w:hAnsi="Times New Roman" w:cs="Times New Roman"/>
                <w:b/>
                <w:bCs/>
                <w:szCs w:val="21"/>
                <w:vertAlign w:val="superscript"/>
              </w:rPr>
              <w:t>3</w:t>
            </w:r>
            <w:r>
              <w:rPr>
                <w:rFonts w:ascii="Times New Roman" w:hAnsi="Times New Roman" w:cs="Times New Roman"/>
                <w:b/>
                <w:szCs w:val="21"/>
              </w:rPr>
              <w:t>）</w:t>
            </w:r>
          </w:p>
        </w:tc>
        <w:tc>
          <w:tcPr>
            <w:tcW w:w="1010" w:type="dxa"/>
            <w:vMerge w:val="restart"/>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限值</w:t>
            </w:r>
          </w:p>
        </w:tc>
        <w:tc>
          <w:tcPr>
            <w:tcW w:w="1001" w:type="dxa"/>
            <w:vMerge w:val="restart"/>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是否</w:t>
            </w:r>
          </w:p>
          <w:p>
            <w:pPr>
              <w:snapToGrid w:val="0"/>
              <w:jc w:val="center"/>
              <w:rPr>
                <w:rFonts w:ascii="Times New Roman" w:hAnsi="Times New Roman" w:cs="Times New Roman"/>
                <w:b/>
                <w:szCs w:val="21"/>
              </w:rPr>
            </w:pPr>
            <w:r>
              <w:rPr>
                <w:rFonts w:ascii="Times New Roman" w:hAnsi="Times New Roman" w:cs="Times New Roman"/>
                <w:b/>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vMerge w:val="continue"/>
            <w:tcBorders>
              <w:tl2br w:val="nil"/>
              <w:tr2bl w:val="nil"/>
            </w:tcBorders>
            <w:vAlign w:val="center"/>
          </w:tcPr>
          <w:p>
            <w:pPr>
              <w:jc w:val="center"/>
              <w:rPr>
                <w:rFonts w:ascii="Times New Roman" w:hAnsi="Times New Roman" w:cs="Times New Roman"/>
                <w:szCs w:val="21"/>
              </w:rPr>
            </w:pPr>
          </w:p>
        </w:tc>
        <w:tc>
          <w:tcPr>
            <w:tcW w:w="1401" w:type="dxa"/>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第1次</w:t>
            </w:r>
          </w:p>
        </w:tc>
        <w:tc>
          <w:tcPr>
            <w:tcW w:w="1401" w:type="dxa"/>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第2次</w:t>
            </w:r>
          </w:p>
        </w:tc>
        <w:tc>
          <w:tcPr>
            <w:tcW w:w="1400" w:type="dxa"/>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第3次</w:t>
            </w:r>
          </w:p>
        </w:tc>
        <w:tc>
          <w:tcPr>
            <w:tcW w:w="1401" w:type="dxa"/>
            <w:tcBorders>
              <w:tl2br w:val="nil"/>
              <w:tr2bl w:val="nil"/>
            </w:tcBorders>
            <w:vAlign w:val="center"/>
          </w:tcPr>
          <w:p>
            <w:pPr>
              <w:snapToGrid w:val="0"/>
              <w:jc w:val="center"/>
              <w:rPr>
                <w:rFonts w:ascii="Times New Roman" w:hAnsi="Times New Roman" w:cs="Times New Roman"/>
                <w:b/>
                <w:szCs w:val="21"/>
              </w:rPr>
            </w:pPr>
            <w:r>
              <w:rPr>
                <w:rFonts w:ascii="Times New Roman" w:hAnsi="Times New Roman" w:cs="Times New Roman"/>
                <w:b/>
                <w:szCs w:val="21"/>
              </w:rPr>
              <w:t>第4次</w:t>
            </w:r>
          </w:p>
        </w:tc>
        <w:tc>
          <w:tcPr>
            <w:tcW w:w="1402" w:type="dxa"/>
            <w:tcBorders>
              <w:tl2br w:val="nil"/>
              <w:tr2bl w:val="nil"/>
            </w:tcBorders>
            <w:vAlign w:val="center"/>
          </w:tcPr>
          <w:p>
            <w:pPr>
              <w:jc w:val="center"/>
              <w:rPr>
                <w:rFonts w:ascii="Times New Roman" w:hAnsi="Times New Roman" w:cs="Times New Roman"/>
                <w:b/>
                <w:szCs w:val="21"/>
              </w:rPr>
            </w:pPr>
            <w:r>
              <w:rPr>
                <w:rFonts w:ascii="Times New Roman" w:hAnsi="Times New Roman" w:cs="Times New Roman"/>
                <w:b/>
                <w:szCs w:val="21"/>
              </w:rPr>
              <w:t>最大值</w:t>
            </w:r>
          </w:p>
        </w:tc>
        <w:tc>
          <w:tcPr>
            <w:tcW w:w="1010" w:type="dxa"/>
            <w:vMerge w:val="continue"/>
            <w:tcBorders>
              <w:tl2br w:val="nil"/>
              <w:tr2bl w:val="nil"/>
            </w:tcBorders>
            <w:vAlign w:val="center"/>
          </w:tcPr>
          <w:p>
            <w:pPr>
              <w:jc w:val="center"/>
              <w:rPr>
                <w:rFonts w:ascii="Times New Roman" w:hAnsi="Times New Roman" w:cs="Times New Roman"/>
                <w:b/>
                <w:szCs w:val="21"/>
              </w:rPr>
            </w:pPr>
          </w:p>
        </w:tc>
        <w:tc>
          <w:tcPr>
            <w:tcW w:w="1001" w:type="dxa"/>
            <w:vMerge w:val="continue"/>
            <w:tcBorders>
              <w:tl2br w:val="nil"/>
              <w:tr2bl w:val="nil"/>
            </w:tcBorders>
            <w:vAlign w:val="center"/>
          </w:tcPr>
          <w:p>
            <w:pPr>
              <w:jc w:val="center"/>
              <w:rPr>
                <w:rFonts w:ascii="Times New Roman" w:hAnsi="Times New Roman" w:cs="Times New Roman"/>
                <w:b/>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颗粒物</w:t>
            </w:r>
          </w:p>
        </w:tc>
        <w:tc>
          <w:tcPr>
            <w:tcW w:w="1336"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9.3.21</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w:t>
            </w:r>
            <w:r>
              <w:rPr>
                <w:rFonts w:hint="eastAsia" w:ascii="Times New Roman" w:hAnsi="Times New Roman" w:cs="Times New Roman"/>
                <w:szCs w:val="21"/>
              </w:rPr>
              <w:t>26</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w:t>
            </w:r>
            <w:r>
              <w:rPr>
                <w:rFonts w:hint="eastAsia" w:ascii="Times New Roman" w:hAnsi="Times New Roman" w:cs="Times New Roman"/>
                <w:szCs w:val="21"/>
              </w:rPr>
              <w:t>39</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0.26</w:t>
            </w:r>
            <w:r>
              <w:rPr>
                <w:rFonts w:hint="eastAsia" w:ascii="Times New Roman" w:hAnsi="Times New Roman" w:cs="Times New Roman"/>
                <w:szCs w:val="21"/>
              </w:rPr>
              <w:t>1</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0.24</w:t>
            </w:r>
            <w:r>
              <w:rPr>
                <w:rFonts w:hint="eastAsia" w:ascii="Times New Roman" w:hAnsi="Times New Roman" w:cs="Times New Roman"/>
                <w:szCs w:val="21"/>
              </w:rPr>
              <w:t>7</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0.383</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1.0</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06</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0.337</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59</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29</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46</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54</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83</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69</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0.32</w:t>
            </w:r>
            <w:r>
              <w:rPr>
                <w:rFonts w:hint="eastAsia" w:ascii="Times New Roman" w:hAnsi="Times New Roman" w:cs="Times New Roman"/>
                <w:szCs w:val="21"/>
              </w:rPr>
              <w:t>1</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34</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75</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56</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9.3.22</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w:t>
            </w:r>
            <w:r>
              <w:rPr>
                <w:rFonts w:hint="eastAsia" w:ascii="Times New Roman" w:hAnsi="Times New Roman" w:cs="Times New Roman"/>
                <w:szCs w:val="21"/>
              </w:rPr>
              <w:t>18</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w:t>
            </w:r>
            <w:r>
              <w:rPr>
                <w:rFonts w:hint="eastAsia" w:ascii="Times New Roman" w:hAnsi="Times New Roman" w:cs="Times New Roman"/>
                <w:szCs w:val="21"/>
              </w:rPr>
              <w:t>22</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0.25</w:t>
            </w:r>
            <w:r>
              <w:rPr>
                <w:rFonts w:hint="eastAsia" w:ascii="Times New Roman" w:hAnsi="Times New Roman" w:cs="Times New Roman"/>
                <w:szCs w:val="21"/>
              </w:rPr>
              <w:t>3</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0.23</w:t>
            </w:r>
            <w:r>
              <w:rPr>
                <w:rFonts w:hint="eastAsia" w:ascii="Times New Roman" w:hAnsi="Times New Roman" w:cs="Times New Roman"/>
                <w:szCs w:val="21"/>
              </w:rPr>
              <w:t>5</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0.389</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1.0</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18</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27</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51</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40</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53</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65</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w:t>
            </w:r>
            <w:r>
              <w:rPr>
                <w:rFonts w:hint="eastAsia" w:ascii="Times New Roman" w:hAnsi="Times New Roman" w:cs="Times New Roman"/>
                <w:szCs w:val="21"/>
              </w:rPr>
              <w:t>389</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78</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32</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57</w:t>
            </w:r>
          </w:p>
        </w:tc>
        <w:tc>
          <w:tcPr>
            <w:tcW w:w="1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79</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0.3</w:t>
            </w:r>
            <w:r>
              <w:rPr>
                <w:rFonts w:hint="eastAsia" w:ascii="Times New Roman" w:hAnsi="Times New Roman" w:cs="Times New Roman"/>
                <w:szCs w:val="21"/>
              </w:rPr>
              <w:t>48</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挥发性有机物（</w:t>
            </w:r>
            <w:r>
              <w:rPr>
                <w:rFonts w:ascii="Times New Roman" w:hAnsi="Times New Roman" w:cs="Times New Roman"/>
                <w:color w:val="000000"/>
                <w:kern w:val="0"/>
                <w:szCs w:val="21"/>
              </w:rPr>
              <w:t>μg/m</w:t>
            </w:r>
            <w:r>
              <w:rPr>
                <w:rFonts w:ascii="Times New Roman" w:hAnsi="Times New Roman" w:cs="Times New Roman"/>
                <w:color w:val="000000"/>
                <w:kern w:val="0"/>
                <w:szCs w:val="21"/>
                <w:vertAlign w:val="superscript"/>
              </w:rPr>
              <w:t>3</w:t>
            </w:r>
            <w:r>
              <w:rPr>
                <w:rFonts w:ascii="Times New Roman" w:hAnsi="Times New Roman" w:cs="Times New Roman"/>
                <w:szCs w:val="21"/>
              </w:rPr>
              <w:t>）</w:t>
            </w:r>
          </w:p>
        </w:tc>
        <w:tc>
          <w:tcPr>
            <w:tcW w:w="1336"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9.3.21</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225</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249</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264</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219</w:t>
            </w:r>
            <w:r>
              <w:rPr>
                <w:rFonts w:ascii="Times New Roman" w:hAnsi="Times New Roman" w:cs="Times New Roman"/>
                <w:color w:val="000000"/>
                <w:kern w:val="0"/>
                <w:szCs w:val="21"/>
              </w:rPr>
              <w:t xml:space="preserve"> </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597</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2000</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471</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496</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597</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505</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532</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4</w:t>
            </w:r>
            <w:r>
              <w:rPr>
                <w:rFonts w:hint="eastAsia" w:ascii="Times New Roman" w:hAnsi="Times New Roman" w:cs="Times New Roman"/>
                <w:color w:val="000000"/>
                <w:kern w:val="0"/>
                <w:szCs w:val="21"/>
              </w:rPr>
              <w:t>99</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5</w:t>
            </w:r>
            <w:r>
              <w:rPr>
                <w:rFonts w:hint="eastAsia" w:ascii="Times New Roman" w:hAnsi="Times New Roman" w:cs="Times New Roman"/>
                <w:color w:val="000000"/>
                <w:kern w:val="0"/>
                <w:szCs w:val="21"/>
              </w:rPr>
              <w:t>16</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5</w:t>
            </w:r>
            <w:r>
              <w:rPr>
                <w:rFonts w:hint="eastAsia" w:ascii="Times New Roman" w:hAnsi="Times New Roman" w:cs="Times New Roman"/>
                <w:color w:val="000000"/>
                <w:kern w:val="0"/>
                <w:szCs w:val="21"/>
              </w:rPr>
              <w:t>14</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44</w:t>
            </w:r>
            <w:r>
              <w:rPr>
                <w:rFonts w:hint="eastAsia" w:ascii="Times New Roman" w:hAnsi="Times New Roman" w:cs="Times New Roman"/>
                <w:color w:val="000000"/>
                <w:kern w:val="0"/>
                <w:szCs w:val="21"/>
              </w:rPr>
              <w:t>1</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583</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524</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4</w:t>
            </w:r>
            <w:r>
              <w:rPr>
                <w:rFonts w:hint="eastAsia" w:ascii="Times New Roman" w:hAnsi="Times New Roman" w:cs="Times New Roman"/>
                <w:color w:val="000000"/>
                <w:kern w:val="0"/>
                <w:szCs w:val="21"/>
              </w:rPr>
              <w:t>90</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9.3.22</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207</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315</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2</w:t>
            </w:r>
            <w:r>
              <w:rPr>
                <w:rFonts w:hint="eastAsia" w:ascii="Times New Roman" w:hAnsi="Times New Roman" w:cs="Times New Roman"/>
                <w:color w:val="000000"/>
                <w:kern w:val="0"/>
                <w:szCs w:val="21"/>
              </w:rPr>
              <w:t>35</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260</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606</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2000</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499</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5</w:t>
            </w:r>
            <w:r>
              <w:rPr>
                <w:rFonts w:hint="eastAsia" w:ascii="Times New Roman" w:hAnsi="Times New Roman" w:cs="Times New Roman"/>
                <w:color w:val="000000"/>
                <w:kern w:val="0"/>
                <w:szCs w:val="21"/>
              </w:rPr>
              <w:t>91</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482</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color w:val="000000"/>
                <w:kern w:val="0"/>
                <w:szCs w:val="21"/>
              </w:rPr>
              <w:t>5</w:t>
            </w:r>
            <w:r>
              <w:rPr>
                <w:rFonts w:hint="eastAsia" w:ascii="Times New Roman" w:hAnsi="Times New Roman" w:cs="Times New Roman"/>
                <w:color w:val="000000"/>
                <w:kern w:val="0"/>
                <w:szCs w:val="21"/>
              </w:rPr>
              <w:t>61</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462</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5</w:t>
            </w:r>
            <w:r>
              <w:rPr>
                <w:rFonts w:hint="eastAsia" w:ascii="Times New Roman" w:hAnsi="Times New Roman" w:cs="Times New Roman"/>
                <w:color w:val="000000"/>
                <w:kern w:val="0"/>
                <w:szCs w:val="21"/>
              </w:rPr>
              <w:t>71</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572</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606</w:t>
            </w:r>
            <w:r>
              <w:rPr>
                <w:rFonts w:ascii="Times New Roman" w:hAnsi="Times New Roman" w:cs="Times New Roman"/>
                <w:color w:val="000000"/>
                <w:kern w:val="0"/>
                <w:szCs w:val="21"/>
              </w:rPr>
              <w:t xml:space="preserve"> </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ascii="Times New Roman" w:hAnsi="Times New Roman" w:cs="Times New Roman"/>
                <w:color w:val="000000"/>
                <w:kern w:val="0"/>
                <w:szCs w:val="21"/>
              </w:rPr>
              <w:t>4</w:t>
            </w:r>
            <w:r>
              <w:rPr>
                <w:rFonts w:hint="eastAsia" w:ascii="Times New Roman" w:hAnsi="Times New Roman" w:cs="Times New Roman"/>
                <w:color w:val="000000"/>
                <w:kern w:val="0"/>
                <w:szCs w:val="21"/>
              </w:rPr>
              <w:t>99</w:t>
            </w:r>
            <w:r>
              <w:rPr>
                <w:rFonts w:ascii="Times New Roman" w:hAnsi="Times New Roman" w:cs="Times New Roman"/>
                <w:color w:val="000000"/>
                <w:kern w:val="0"/>
                <w:szCs w:val="21"/>
              </w:rPr>
              <w:t xml:space="preserve"> </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574</w:t>
            </w:r>
            <w:r>
              <w:rPr>
                <w:rFonts w:ascii="Times New Roman" w:hAnsi="Times New Roman" w:cs="Times New Roman"/>
                <w:color w:val="000000"/>
                <w:kern w:val="0"/>
                <w:szCs w:val="21"/>
              </w:rPr>
              <w:t xml:space="preserve"> </w:t>
            </w:r>
          </w:p>
        </w:tc>
        <w:tc>
          <w:tcPr>
            <w:tcW w:w="140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561</w:t>
            </w:r>
          </w:p>
        </w:tc>
        <w:tc>
          <w:tcPr>
            <w:tcW w:w="1401"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color w:val="000000"/>
                <w:kern w:val="0"/>
                <w:szCs w:val="21"/>
              </w:rPr>
              <w:t>536</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color w:val="000000"/>
                <w:szCs w:val="21"/>
              </w:rPr>
              <w:t>乙酸丁酯</w:t>
            </w:r>
          </w:p>
        </w:tc>
        <w:tc>
          <w:tcPr>
            <w:tcW w:w="1336"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1</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ND</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0.4</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3" w:hRule="exac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2</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ND</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0.4</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丁醇</w:t>
            </w:r>
          </w:p>
        </w:tc>
        <w:tc>
          <w:tcPr>
            <w:tcW w:w="1336"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1</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ND</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0.4</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2</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上风向</w:t>
            </w:r>
            <w:r>
              <w:rPr>
                <w:rFonts w:ascii="Times New Roman" w:hAnsi="Times New Roman" w:cs="Times New Roman"/>
                <w:szCs w:val="21"/>
              </w:rPr>
              <w:t>G1</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ND</w:t>
            </w:r>
          </w:p>
        </w:tc>
        <w:tc>
          <w:tcPr>
            <w:tcW w:w="1010"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0.4</w:t>
            </w:r>
          </w:p>
        </w:tc>
        <w:tc>
          <w:tcPr>
            <w:tcW w:w="1001"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G2</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G3</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24" w:space="0"/>
            <w:left w:val="none" w:color="auto" w:sz="0" w:space="0"/>
            <w:bottom w:val="single" w:color="auto" w:sz="24"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cantSplit/>
          <w:trHeight w:val="421" w:hRule="atLeast"/>
          <w:jc w:val="center"/>
        </w:trPr>
        <w:tc>
          <w:tcPr>
            <w:tcW w:w="1354" w:type="dxa"/>
            <w:vMerge w:val="continue"/>
            <w:tcBorders>
              <w:tl2br w:val="nil"/>
              <w:tr2bl w:val="nil"/>
            </w:tcBorders>
            <w:vAlign w:val="center"/>
          </w:tcPr>
          <w:p>
            <w:pPr>
              <w:jc w:val="center"/>
              <w:rPr>
                <w:rFonts w:ascii="Times New Roman" w:hAnsi="Times New Roman" w:cs="Times New Roman"/>
                <w:szCs w:val="21"/>
              </w:rPr>
            </w:pPr>
          </w:p>
        </w:tc>
        <w:tc>
          <w:tcPr>
            <w:tcW w:w="1336" w:type="dxa"/>
            <w:vMerge w:val="continue"/>
            <w:tcBorders>
              <w:tl2br w:val="nil"/>
              <w:tr2bl w:val="nil"/>
            </w:tcBorders>
            <w:vAlign w:val="center"/>
          </w:tcPr>
          <w:p>
            <w:pPr>
              <w:jc w:val="center"/>
              <w:rPr>
                <w:rFonts w:ascii="Times New Roman" w:hAnsi="Times New Roman" w:cs="Times New Roman"/>
                <w:szCs w:val="21"/>
              </w:rPr>
            </w:pP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下风向</w:t>
            </w:r>
            <w:r>
              <w:rPr>
                <w:rFonts w:ascii="Times New Roman" w:hAnsi="Times New Roman" w:cs="Times New Roman"/>
                <w:szCs w:val="21"/>
              </w:rPr>
              <w:t>G4</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0"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1" w:type="dxa"/>
            <w:tcBorders>
              <w:tl2br w:val="nil"/>
              <w:tr2bl w:val="nil"/>
            </w:tcBorders>
            <w:vAlign w:val="center"/>
          </w:tcPr>
          <w:p>
            <w:pPr>
              <w:jc w:val="center"/>
              <w:rPr>
                <w:rFonts w:ascii="Times New Roman" w:hAnsi="Times New Roman" w:cs="Times New Roman"/>
                <w:color w:val="000000"/>
                <w:kern w:val="0"/>
                <w:szCs w:val="21"/>
              </w:rPr>
            </w:pPr>
            <w:r>
              <w:rPr>
                <w:rFonts w:ascii="Times New Roman" w:hAnsi="Times New Roman" w:cs="Times New Roman"/>
                <w:szCs w:val="21"/>
              </w:rPr>
              <w:t>ND</w:t>
            </w:r>
          </w:p>
        </w:tc>
        <w:tc>
          <w:tcPr>
            <w:tcW w:w="1402" w:type="dxa"/>
            <w:vMerge w:val="continue"/>
            <w:tcBorders>
              <w:tl2br w:val="nil"/>
              <w:tr2bl w:val="nil"/>
            </w:tcBorders>
            <w:vAlign w:val="center"/>
          </w:tcPr>
          <w:p>
            <w:pPr>
              <w:jc w:val="center"/>
              <w:rPr>
                <w:rFonts w:ascii="Times New Roman" w:hAnsi="Times New Roman" w:cs="Times New Roman"/>
                <w:szCs w:val="21"/>
              </w:rPr>
            </w:pPr>
          </w:p>
        </w:tc>
        <w:tc>
          <w:tcPr>
            <w:tcW w:w="1010" w:type="dxa"/>
            <w:vMerge w:val="continue"/>
            <w:tcBorders>
              <w:tl2br w:val="nil"/>
              <w:tr2bl w:val="nil"/>
            </w:tcBorders>
            <w:vAlign w:val="center"/>
          </w:tcPr>
          <w:p>
            <w:pPr>
              <w:jc w:val="center"/>
              <w:rPr>
                <w:rFonts w:ascii="Times New Roman" w:hAnsi="Times New Roman" w:cs="Times New Roman"/>
                <w:szCs w:val="21"/>
              </w:rPr>
            </w:pPr>
          </w:p>
        </w:tc>
        <w:tc>
          <w:tcPr>
            <w:tcW w:w="1001" w:type="dxa"/>
            <w:vMerge w:val="continue"/>
            <w:tcBorders>
              <w:tl2br w:val="nil"/>
              <w:tr2bl w:val="nil"/>
            </w:tcBorders>
            <w:vAlign w:val="center"/>
          </w:tcPr>
          <w:p>
            <w:pPr>
              <w:jc w:val="center"/>
              <w:rPr>
                <w:rFonts w:ascii="Times New Roman" w:hAnsi="Times New Roman" w:cs="Times New Roman"/>
                <w:szCs w:val="21"/>
              </w:rPr>
            </w:pPr>
          </w:p>
        </w:tc>
      </w:tr>
    </w:tbl>
    <w:p>
      <w:pPr>
        <w:pStyle w:val="9"/>
        <w:tabs>
          <w:tab w:val="left" w:pos="9121"/>
        </w:tabs>
        <w:spacing w:line="360" w:lineRule="auto"/>
        <w:ind w:left="0"/>
        <w:rPr>
          <w:rFonts w:ascii="Times New Roman" w:hAnsi="Times New Roman" w:eastAsia="宋体" w:cs="宋体"/>
          <w:b/>
          <w:sz w:val="24"/>
          <w:szCs w:val="24"/>
        </w:rPr>
        <w:sectPr>
          <w:pgSz w:w="16838" w:h="11906" w:orient="landscape"/>
          <w:pgMar w:top="1800" w:right="1440" w:bottom="1800" w:left="1440" w:header="851" w:footer="992" w:gutter="0"/>
          <w:cols w:space="425" w:num="1"/>
          <w:docGrid w:type="lines" w:linePitch="312" w:charSpace="0"/>
        </w:sectPr>
      </w:pPr>
    </w:p>
    <w:p>
      <w:pPr>
        <w:pStyle w:val="7"/>
        <w:bidi w:val="0"/>
      </w:pPr>
      <w:r>
        <w:t>表</w:t>
      </w:r>
      <w:r>
        <w:rPr>
          <w:rFonts w:hint="eastAsia"/>
          <w:lang w:eastAsia="zh-CN"/>
        </w:rPr>
        <w:t xml:space="preserve">9-5 </w:t>
      </w:r>
      <w:r>
        <w:rPr>
          <w:rFonts w:hint="eastAsia"/>
          <w:lang w:val="en-US" w:eastAsia="zh-CN"/>
        </w:rPr>
        <w:t xml:space="preserve"> </w:t>
      </w:r>
      <w:r>
        <w:rPr>
          <w:rFonts w:hint="eastAsia"/>
          <w:lang w:eastAsia="zh-CN"/>
        </w:rPr>
        <w:t>无组织监测气象参数</w:t>
      </w:r>
    </w:p>
    <w:tbl>
      <w:tblPr>
        <w:tblStyle w:val="23"/>
        <w:tblW w:w="10707" w:type="dxa"/>
        <w:jc w:val="center"/>
        <w:tblInd w:w="0" w:type="dxa"/>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145"/>
        <w:gridCol w:w="1273"/>
        <w:gridCol w:w="1250"/>
        <w:gridCol w:w="1305"/>
        <w:gridCol w:w="1335"/>
        <w:gridCol w:w="1520"/>
        <w:gridCol w:w="890"/>
        <w:gridCol w:w="1989"/>
      </w:tblGrid>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650" w:hRule="atLeast"/>
          <w:jc w:val="center"/>
        </w:trPr>
        <w:tc>
          <w:tcPr>
            <w:tcW w:w="1145"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监测点位</w:t>
            </w:r>
          </w:p>
        </w:tc>
        <w:tc>
          <w:tcPr>
            <w:tcW w:w="1273"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监测日期</w:t>
            </w:r>
          </w:p>
        </w:tc>
        <w:tc>
          <w:tcPr>
            <w:tcW w:w="1250"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监测频次</w:t>
            </w:r>
          </w:p>
        </w:tc>
        <w:tc>
          <w:tcPr>
            <w:tcW w:w="1305"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气温（℃）</w:t>
            </w:r>
          </w:p>
        </w:tc>
        <w:tc>
          <w:tcPr>
            <w:tcW w:w="1335"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气压（kPa）</w:t>
            </w:r>
          </w:p>
        </w:tc>
        <w:tc>
          <w:tcPr>
            <w:tcW w:w="1520"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相对湿度（%）</w:t>
            </w:r>
          </w:p>
        </w:tc>
        <w:tc>
          <w:tcPr>
            <w:tcW w:w="890"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风向</w:t>
            </w:r>
          </w:p>
        </w:tc>
        <w:tc>
          <w:tcPr>
            <w:tcW w:w="1989" w:type="dxa"/>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iCs/>
                <w:szCs w:val="21"/>
              </w:rPr>
            </w:pPr>
            <w:r>
              <w:rPr>
                <w:rFonts w:ascii="Times New Roman" w:hAnsi="Times New Roman" w:cs="Times New Roman"/>
                <w:b/>
                <w:iCs/>
                <w:szCs w:val="21"/>
              </w:rPr>
              <w:t>风速（m/s）</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hint="eastAsia" w:ascii="Times New Roman" w:hAnsi="Times New Roman" w:cs="Times New Roman"/>
                <w:szCs w:val="21"/>
              </w:rPr>
              <w:t>G</w:t>
            </w:r>
            <w:r>
              <w:rPr>
                <w:rFonts w:ascii="Times New Roman" w:hAnsi="Times New Roman" w:cs="Times New Roman"/>
                <w:szCs w:val="21"/>
              </w:rPr>
              <w:t>1</w:t>
            </w:r>
            <w:r>
              <w:rPr>
                <w:rFonts w:hint="eastAsia" w:ascii="Times New Roman" w:hAnsi="Times New Roman" w:cs="Times New Roman"/>
                <w:szCs w:val="21"/>
              </w:rPr>
              <w:t>-G</w:t>
            </w:r>
            <w:r>
              <w:rPr>
                <w:rFonts w:ascii="Times New Roman" w:hAnsi="Times New Roman" w:cs="Times New Roman"/>
                <w:szCs w:val="21"/>
              </w:rPr>
              <w:t>4</w:t>
            </w:r>
          </w:p>
        </w:tc>
        <w:tc>
          <w:tcPr>
            <w:tcW w:w="1273" w:type="dxa"/>
            <w:vMerge w:val="restart"/>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1</w:t>
            </w: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第一次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11.4</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101.7</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54.3</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2.4</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3"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第二次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15.6</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101.7</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50.7</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2.3</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3"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第三次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18.7</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101.6</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45.4</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2.2</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73" w:type="dxa"/>
            <w:vMerge w:val="continue"/>
            <w:tcBorders>
              <w:tl2br w:val="nil"/>
              <w:tr2bl w:val="nil"/>
            </w:tcBorders>
            <w:vAlign w:val="center"/>
          </w:tcPr>
          <w:p>
            <w:pPr>
              <w:adjustRightInd w:val="0"/>
              <w:snapToGrid w:val="0"/>
              <w:jc w:val="center"/>
              <w:rPr>
                <w:rFonts w:ascii="Times New Roman" w:hAnsi="Times New Roman" w:cs="Times New Roman"/>
                <w:szCs w:val="21"/>
              </w:rPr>
            </w:pP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第四次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16.4</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101.6</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48.6</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2.3</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73" w:type="dxa"/>
            <w:vMerge w:val="restart"/>
            <w:tcBorders>
              <w:tl2br w:val="nil"/>
              <w:tr2bl w:val="nil"/>
            </w:tcBorders>
            <w:vAlign w:val="center"/>
          </w:tcPr>
          <w:p>
            <w:pPr>
              <w:adjustRightInd w:val="0"/>
              <w:snapToGrid w:val="0"/>
              <w:jc w:val="center"/>
              <w:rPr>
                <w:rFonts w:ascii="Times New Roman" w:hAnsi="Times New Roman" w:cs="Times New Roman"/>
                <w:b/>
                <w:bCs/>
                <w:iCs/>
                <w:szCs w:val="21"/>
              </w:rPr>
            </w:pPr>
            <w:r>
              <w:rPr>
                <w:rFonts w:ascii="Times New Roman" w:hAnsi="Times New Roman" w:cs="Times New Roman"/>
                <w:szCs w:val="21"/>
              </w:rPr>
              <w:t>201</w:t>
            </w:r>
            <w:r>
              <w:rPr>
                <w:rFonts w:hint="eastAsia" w:ascii="Times New Roman" w:hAnsi="Times New Roman" w:cs="Times New Roman"/>
                <w:szCs w:val="21"/>
              </w:rPr>
              <w:t>9.3.2</w:t>
            </w:r>
            <w:r>
              <w:rPr>
                <w:rFonts w:ascii="Times New Roman" w:hAnsi="Times New Roman" w:cs="Times New Roman"/>
                <w:szCs w:val="21"/>
              </w:rPr>
              <w:t>2</w:t>
            </w: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第一次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7.6</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101.8</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55.2</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2.4</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73"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第二次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9.4</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101.8</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50.8</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2.3</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1" w:hRule="atLeast"/>
          <w:jc w:val="center"/>
        </w:trPr>
        <w:tc>
          <w:tcPr>
            <w:tcW w:w="1145"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73"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第三次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11.5</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101.7</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46.7</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2.2</w:t>
            </w:r>
          </w:p>
        </w:tc>
      </w:tr>
      <w:tr>
        <w:tblPrEx>
          <w:tblBorders>
            <w:top w:val="single" w:color="auto" w:sz="18" w:space="0"/>
            <w:left w:val="none" w:color="auto" w:sz="0" w:space="0"/>
            <w:bottom w:val="single" w:color="auto" w:sz="1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07" w:hRule="atLeast"/>
          <w:jc w:val="center"/>
        </w:trPr>
        <w:tc>
          <w:tcPr>
            <w:tcW w:w="1145"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73" w:type="dxa"/>
            <w:vMerge w:val="continue"/>
            <w:tcBorders>
              <w:tl2br w:val="nil"/>
              <w:tr2bl w:val="nil"/>
            </w:tcBorders>
            <w:vAlign w:val="center"/>
          </w:tcPr>
          <w:p>
            <w:pPr>
              <w:adjustRightInd w:val="0"/>
              <w:snapToGrid w:val="0"/>
              <w:spacing w:line="200" w:lineRule="atLeast"/>
              <w:jc w:val="center"/>
              <w:textAlignment w:val="baseline"/>
              <w:rPr>
                <w:rFonts w:ascii="Times New Roman" w:hAnsi="Times New Roman" w:cs="Times New Roman"/>
                <w:b/>
                <w:bCs/>
                <w:iCs/>
                <w:szCs w:val="21"/>
              </w:rPr>
            </w:pPr>
          </w:p>
        </w:tc>
        <w:tc>
          <w:tcPr>
            <w:tcW w:w="1250" w:type="dxa"/>
            <w:tcBorders>
              <w:tl2br w:val="nil"/>
              <w:tr2bl w:val="nil"/>
            </w:tcBorders>
            <w:vAlign w:val="center"/>
          </w:tcPr>
          <w:p>
            <w:pPr>
              <w:adjustRightInd w:val="0"/>
              <w:spacing w:line="200" w:lineRule="atLeast"/>
              <w:jc w:val="center"/>
              <w:textAlignment w:val="baseline"/>
              <w:rPr>
                <w:rFonts w:ascii="Times New Roman" w:hAnsi="Times New Roman" w:cs="Times New Roman"/>
                <w:bCs/>
                <w:iCs/>
                <w:szCs w:val="21"/>
              </w:rPr>
            </w:pPr>
            <w:r>
              <w:rPr>
                <w:rFonts w:ascii="Times New Roman" w:hAnsi="Times New Roman" w:cs="Times New Roman"/>
                <w:bCs/>
                <w:iCs/>
                <w:szCs w:val="21"/>
              </w:rPr>
              <w:t>第四次</w:t>
            </w:r>
          </w:p>
        </w:tc>
        <w:tc>
          <w:tcPr>
            <w:tcW w:w="130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10.2</w:t>
            </w:r>
          </w:p>
        </w:tc>
        <w:tc>
          <w:tcPr>
            <w:tcW w:w="1335"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101.7</w:t>
            </w:r>
          </w:p>
        </w:tc>
        <w:tc>
          <w:tcPr>
            <w:tcW w:w="152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49.5</w:t>
            </w:r>
          </w:p>
        </w:tc>
        <w:tc>
          <w:tcPr>
            <w:tcW w:w="890"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89"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2.4</w:t>
            </w:r>
          </w:p>
        </w:tc>
      </w:tr>
    </w:tbl>
    <w:p>
      <w:pPr>
        <w:spacing w:line="360" w:lineRule="auto"/>
        <w:outlineLvl w:val="2"/>
        <w:rPr>
          <w:rFonts w:ascii="Times New Roman" w:hAnsi="Times New Roman" w:cs="Times New Roman"/>
          <w:b/>
          <w:sz w:val="24"/>
        </w:rPr>
      </w:pPr>
      <w:bookmarkStart w:id="327" w:name="_Toc471484708"/>
      <w:bookmarkStart w:id="328" w:name="_Toc17591"/>
      <w:bookmarkStart w:id="329" w:name="_Toc438198587"/>
      <w:bookmarkStart w:id="330" w:name="_Toc439167174"/>
      <w:r>
        <w:rPr>
          <w:rFonts w:ascii="Times New Roman" w:hAnsi="Times New Roman" w:cs="Times New Roman"/>
          <w:b/>
          <w:sz w:val="24"/>
        </w:rPr>
        <w:t>9.2.4厂界噪声监测结果及评价</w:t>
      </w:r>
      <w:bookmarkEnd w:id="327"/>
      <w:bookmarkEnd w:id="328"/>
      <w:bookmarkEnd w:id="329"/>
      <w:bookmarkEnd w:id="330"/>
    </w:p>
    <w:p>
      <w:pPr>
        <w:pStyle w:val="7"/>
        <w:bidi w:val="0"/>
      </w:pPr>
      <w:r>
        <w:t>表</w:t>
      </w:r>
      <w:r>
        <w:rPr>
          <w:rFonts w:hint="eastAsia"/>
          <w:lang w:eastAsia="zh-CN"/>
        </w:rPr>
        <w:t xml:space="preserve">9-6 </w:t>
      </w:r>
      <w:r>
        <w:rPr>
          <w:rFonts w:hint="eastAsia"/>
          <w:lang w:val="en-US" w:eastAsia="zh-CN"/>
        </w:rPr>
        <w:t xml:space="preserve"> </w:t>
      </w:r>
      <w:r>
        <w:rPr>
          <w:rFonts w:hint="eastAsia"/>
          <w:lang w:eastAsia="zh-CN"/>
        </w:rPr>
        <w:t>噪声监测结果统计表</w:t>
      </w:r>
    </w:p>
    <w:tbl>
      <w:tblPr>
        <w:tblStyle w:val="23"/>
        <w:tblW w:w="9867" w:type="dxa"/>
        <w:jc w:val="center"/>
        <w:tblInd w:w="-358"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3"/>
        <w:gridCol w:w="1705"/>
        <w:gridCol w:w="1063"/>
        <w:gridCol w:w="928"/>
        <w:gridCol w:w="941"/>
        <w:gridCol w:w="831"/>
        <w:gridCol w:w="941"/>
        <w:gridCol w:w="914"/>
        <w:gridCol w:w="859"/>
        <w:gridCol w:w="982"/>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2" w:hRule="atLeast"/>
          <w:jc w:val="center"/>
        </w:trPr>
        <w:tc>
          <w:tcPr>
            <w:tcW w:w="703" w:type="dxa"/>
            <w:vMerge w:val="restart"/>
            <w:tcBorders>
              <w:tl2br w:val="nil"/>
              <w:tr2bl w:val="nil"/>
            </w:tcBorders>
            <w:vAlign w:val="center"/>
          </w:tcPr>
          <w:p>
            <w:pPr>
              <w:adjustRightInd w:val="0"/>
              <w:snapToGrid w:val="0"/>
              <w:spacing w:line="260" w:lineRule="exact"/>
              <w:textAlignment w:val="baseline"/>
              <w:rPr>
                <w:rFonts w:ascii="Times New Roman" w:hAnsi="Times New Roman" w:cs="Times New Roman"/>
                <w:b/>
                <w:bCs/>
                <w:szCs w:val="21"/>
              </w:rPr>
            </w:pPr>
            <w:r>
              <w:rPr>
                <w:rFonts w:hint="eastAsia" w:ascii="Times New Roman" w:hAnsi="Times New Roman" w:cs="Times New Roman"/>
                <w:b/>
                <w:bCs/>
                <w:szCs w:val="21"/>
              </w:rPr>
              <w:t>测点序号</w:t>
            </w:r>
          </w:p>
        </w:tc>
        <w:tc>
          <w:tcPr>
            <w:tcW w:w="1705" w:type="dxa"/>
            <w:vMerge w:val="restart"/>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测点位置</w:t>
            </w:r>
          </w:p>
        </w:tc>
        <w:tc>
          <w:tcPr>
            <w:tcW w:w="7459" w:type="dxa"/>
            <w:gridSpan w:val="8"/>
            <w:tcBorders>
              <w:tl2br w:val="nil"/>
              <w:tr2bl w:val="nil"/>
            </w:tcBorders>
            <w:vAlign w:val="center"/>
          </w:tcPr>
          <w:p>
            <w:pPr>
              <w:tabs>
                <w:tab w:val="left" w:pos="1602"/>
              </w:tabs>
              <w:wordWrap w:val="0"/>
              <w:adjustRightInd w:val="0"/>
              <w:snapToGrid w:val="0"/>
              <w:jc w:val="center"/>
              <w:textAlignment w:val="baseline"/>
              <w:rPr>
                <w:rFonts w:ascii="Times New Roman" w:hAnsi="Times New Roman" w:cs="Times New Roman"/>
                <w:b/>
                <w:bCs/>
                <w:szCs w:val="21"/>
              </w:rPr>
            </w:pPr>
            <w:r>
              <w:rPr>
                <w:rFonts w:ascii="Times New Roman" w:hAnsi="Times New Roman" w:cs="Times New Roman"/>
                <w:b/>
                <w:szCs w:val="21"/>
              </w:rPr>
              <w:t>等 效 声 级  单位：dB(A)</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87" w:hRule="atLeast"/>
          <w:jc w:val="center"/>
        </w:trPr>
        <w:tc>
          <w:tcPr>
            <w:tcW w:w="703" w:type="dxa"/>
            <w:vMerge w:val="continue"/>
            <w:tcBorders>
              <w:tl2br w:val="nil"/>
              <w:tr2bl w:val="nil"/>
            </w:tcBorders>
            <w:vAlign w:val="center"/>
          </w:tcPr>
          <w:p>
            <w:pPr>
              <w:adjustRightInd w:val="0"/>
              <w:snapToGrid w:val="0"/>
              <w:spacing w:line="260" w:lineRule="exact"/>
              <w:textAlignment w:val="baseline"/>
              <w:rPr>
                <w:rFonts w:ascii="Times New Roman" w:hAnsi="Times New Roman" w:cs="Times New Roman"/>
                <w:b/>
                <w:bCs/>
                <w:szCs w:val="21"/>
              </w:rPr>
            </w:pPr>
          </w:p>
        </w:tc>
        <w:tc>
          <w:tcPr>
            <w:tcW w:w="1705"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p>
        </w:tc>
        <w:tc>
          <w:tcPr>
            <w:tcW w:w="3763" w:type="dxa"/>
            <w:gridSpan w:val="4"/>
            <w:tcBorders>
              <w:tl2br w:val="nil"/>
              <w:tr2bl w:val="nil"/>
            </w:tcBorders>
            <w:vAlign w:val="center"/>
          </w:tcPr>
          <w:p>
            <w:pPr>
              <w:tabs>
                <w:tab w:val="left" w:pos="1602"/>
              </w:tabs>
              <w:wordWrap w:val="0"/>
              <w:adjustRightInd w:val="0"/>
              <w:snapToGrid w:val="0"/>
              <w:jc w:val="center"/>
              <w:textAlignment w:val="baseline"/>
              <w:rPr>
                <w:rFonts w:ascii="Times New Roman" w:hAnsi="Times New Roman" w:cs="Times New Roman"/>
                <w:b/>
                <w:bCs/>
                <w:szCs w:val="21"/>
              </w:rPr>
            </w:pPr>
            <w:r>
              <w:rPr>
                <w:rFonts w:ascii="Times New Roman" w:hAnsi="Times New Roman" w:cs="Times New Roman"/>
                <w:b/>
                <w:bCs/>
                <w:szCs w:val="21"/>
              </w:rPr>
              <w:t>201</w:t>
            </w:r>
            <w:r>
              <w:rPr>
                <w:rFonts w:hint="eastAsia" w:ascii="Times New Roman" w:hAnsi="Times New Roman" w:cs="Times New Roman"/>
                <w:b/>
                <w:bCs/>
                <w:szCs w:val="21"/>
              </w:rPr>
              <w:t>9.3.21</w:t>
            </w:r>
          </w:p>
        </w:tc>
        <w:tc>
          <w:tcPr>
            <w:tcW w:w="3696" w:type="dxa"/>
            <w:gridSpan w:val="4"/>
            <w:tcBorders>
              <w:tl2br w:val="nil"/>
              <w:tr2bl w:val="nil"/>
            </w:tcBorders>
            <w:vAlign w:val="center"/>
          </w:tcPr>
          <w:p>
            <w:pPr>
              <w:tabs>
                <w:tab w:val="left" w:pos="1602"/>
              </w:tabs>
              <w:wordWrap w:val="0"/>
              <w:adjustRightInd w:val="0"/>
              <w:snapToGrid w:val="0"/>
              <w:jc w:val="center"/>
              <w:textAlignment w:val="baseline"/>
              <w:rPr>
                <w:rFonts w:ascii="Times New Roman" w:hAnsi="Times New Roman" w:cs="Times New Roman"/>
                <w:b/>
                <w:bCs/>
                <w:szCs w:val="21"/>
              </w:rPr>
            </w:pPr>
            <w:r>
              <w:rPr>
                <w:rFonts w:ascii="Times New Roman" w:hAnsi="Times New Roman" w:cs="Times New Roman"/>
                <w:b/>
                <w:bCs/>
                <w:szCs w:val="21"/>
              </w:rPr>
              <w:t>201</w:t>
            </w:r>
            <w:r>
              <w:rPr>
                <w:rFonts w:hint="eastAsia" w:ascii="Times New Roman" w:hAnsi="Times New Roman" w:cs="Times New Roman"/>
                <w:b/>
                <w:bCs/>
                <w:szCs w:val="21"/>
              </w:rPr>
              <w:t>9.3.22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3" w:hRule="atLeast"/>
          <w:jc w:val="center"/>
        </w:trPr>
        <w:tc>
          <w:tcPr>
            <w:tcW w:w="703"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p>
        </w:tc>
        <w:tc>
          <w:tcPr>
            <w:tcW w:w="1705" w:type="dxa"/>
            <w:vMerge w:val="continue"/>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p>
        </w:tc>
        <w:tc>
          <w:tcPr>
            <w:tcW w:w="1063"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检测</w:t>
            </w:r>
          </w:p>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时间</w:t>
            </w:r>
          </w:p>
        </w:tc>
        <w:tc>
          <w:tcPr>
            <w:tcW w:w="928"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昼间</w:t>
            </w:r>
          </w:p>
        </w:tc>
        <w:tc>
          <w:tcPr>
            <w:tcW w:w="941"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检测</w:t>
            </w:r>
          </w:p>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时间</w:t>
            </w:r>
          </w:p>
        </w:tc>
        <w:tc>
          <w:tcPr>
            <w:tcW w:w="831"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夜间</w:t>
            </w:r>
          </w:p>
        </w:tc>
        <w:tc>
          <w:tcPr>
            <w:tcW w:w="941"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检测</w:t>
            </w:r>
          </w:p>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时间</w:t>
            </w:r>
          </w:p>
        </w:tc>
        <w:tc>
          <w:tcPr>
            <w:tcW w:w="914"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昼间</w:t>
            </w:r>
          </w:p>
        </w:tc>
        <w:tc>
          <w:tcPr>
            <w:tcW w:w="859"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检测</w:t>
            </w:r>
          </w:p>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时间</w:t>
            </w:r>
          </w:p>
        </w:tc>
        <w:tc>
          <w:tcPr>
            <w:tcW w:w="982" w:type="dxa"/>
            <w:tcBorders>
              <w:tl2br w:val="nil"/>
              <w:tr2bl w:val="nil"/>
            </w:tcBorders>
            <w:vAlign w:val="center"/>
          </w:tcPr>
          <w:p>
            <w:pPr>
              <w:adjustRightInd w:val="0"/>
              <w:snapToGrid w:val="0"/>
              <w:spacing w:line="260" w:lineRule="exact"/>
              <w:jc w:val="center"/>
              <w:textAlignment w:val="baseline"/>
              <w:rPr>
                <w:rFonts w:ascii="Times New Roman" w:hAnsi="Times New Roman" w:cs="Times New Roman"/>
                <w:b/>
                <w:bCs/>
                <w:szCs w:val="21"/>
              </w:rPr>
            </w:pPr>
            <w:r>
              <w:rPr>
                <w:rFonts w:ascii="Times New Roman" w:hAnsi="Times New Roman" w:cs="Times New Roman"/>
                <w:b/>
                <w:bCs/>
                <w:szCs w:val="21"/>
              </w:rPr>
              <w:t>夜间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N1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东厂界外1m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10:17</w:t>
            </w:r>
          </w:p>
        </w:tc>
        <w:tc>
          <w:tcPr>
            <w:tcW w:w="928"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49.</w:t>
            </w:r>
            <w:r>
              <w:rPr>
                <w:rFonts w:hint="eastAsia" w:ascii="Times New Roman" w:hAnsi="Times New Roman" w:cs="Times New Roman"/>
                <w:color w:val="000000"/>
                <w:szCs w:val="21"/>
              </w:rPr>
              <w:t>4</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22:07</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1.5</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12:11</w:t>
            </w:r>
          </w:p>
        </w:tc>
        <w:tc>
          <w:tcPr>
            <w:tcW w:w="91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49.</w:t>
            </w:r>
            <w:r>
              <w:rPr>
                <w:rFonts w:hint="eastAsia" w:ascii="Times New Roman" w:hAnsi="Times New Roman" w:cs="Times New Roman"/>
                <w:szCs w:val="21"/>
              </w:rPr>
              <w:t>9</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22:05</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0.7</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N2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南厂界外1m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10:25</w:t>
            </w:r>
          </w:p>
        </w:tc>
        <w:tc>
          <w:tcPr>
            <w:tcW w:w="928"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53.</w:t>
            </w:r>
            <w:r>
              <w:rPr>
                <w:rFonts w:hint="eastAsia" w:ascii="Times New Roman" w:hAnsi="Times New Roman" w:cs="Times New Roman"/>
                <w:color w:val="000000"/>
                <w:szCs w:val="21"/>
              </w:rPr>
              <w:t>0</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22:14</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44.</w:t>
            </w:r>
            <w:r>
              <w:rPr>
                <w:rFonts w:hint="eastAsia" w:ascii="Times New Roman" w:hAnsi="Times New Roman" w:cs="Times New Roman"/>
                <w:szCs w:val="21"/>
              </w:rPr>
              <w:t>6</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12:20</w:t>
            </w:r>
          </w:p>
        </w:tc>
        <w:tc>
          <w:tcPr>
            <w:tcW w:w="91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r>
              <w:rPr>
                <w:rFonts w:hint="eastAsia" w:ascii="Times New Roman" w:hAnsi="Times New Roman" w:cs="Times New Roman"/>
                <w:szCs w:val="21"/>
              </w:rPr>
              <w:t>3.9</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22:12</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44.</w:t>
            </w:r>
            <w:r>
              <w:rPr>
                <w:rFonts w:hint="eastAsia" w:ascii="Times New Roman" w:hAnsi="Times New Roman" w:cs="Times New Roman"/>
                <w:szCs w:val="21"/>
              </w:rPr>
              <w:t>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N3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西厂界外1m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10:32</w:t>
            </w:r>
          </w:p>
        </w:tc>
        <w:tc>
          <w:tcPr>
            <w:tcW w:w="928"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55.</w:t>
            </w:r>
            <w:r>
              <w:rPr>
                <w:rFonts w:hint="eastAsia" w:ascii="Times New Roman" w:hAnsi="Times New Roman" w:cs="Times New Roman"/>
                <w:color w:val="000000"/>
                <w:szCs w:val="21"/>
              </w:rPr>
              <w:t>6</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22:20</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6.2</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12:28</w:t>
            </w:r>
          </w:p>
        </w:tc>
        <w:tc>
          <w:tcPr>
            <w:tcW w:w="914"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56.2</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22:20</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7.0</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N4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北厂界外1m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10:40</w:t>
            </w:r>
          </w:p>
        </w:tc>
        <w:tc>
          <w:tcPr>
            <w:tcW w:w="928"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50.</w:t>
            </w:r>
            <w:r>
              <w:rPr>
                <w:rFonts w:hint="eastAsia" w:ascii="Times New Roman" w:hAnsi="Times New Roman" w:cs="Times New Roman"/>
                <w:color w:val="000000"/>
                <w:szCs w:val="21"/>
              </w:rPr>
              <w:t>4</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22:27</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1.7</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12:36</w:t>
            </w:r>
          </w:p>
        </w:tc>
        <w:tc>
          <w:tcPr>
            <w:tcW w:w="914"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51.1</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22:37</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2.5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N1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东厂界外1m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14:21</w:t>
            </w:r>
          </w:p>
        </w:tc>
        <w:tc>
          <w:tcPr>
            <w:tcW w:w="928"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cs="Times New Roman"/>
                <w:color w:val="000000"/>
                <w:szCs w:val="21"/>
              </w:rPr>
              <w:t>48.7</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23:19</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0.3</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16:17</w:t>
            </w:r>
          </w:p>
        </w:tc>
        <w:tc>
          <w:tcPr>
            <w:tcW w:w="91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50.</w:t>
            </w:r>
            <w:r>
              <w:rPr>
                <w:rFonts w:hint="eastAsia" w:ascii="Times New Roman" w:hAnsi="Times New Roman" w:cs="Times New Roman"/>
                <w:szCs w:val="21"/>
              </w:rPr>
              <w:t>1</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23:21</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1.5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N2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南厂界外1m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14:29</w:t>
            </w:r>
          </w:p>
        </w:tc>
        <w:tc>
          <w:tcPr>
            <w:tcW w:w="928"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5</w:t>
            </w:r>
            <w:r>
              <w:rPr>
                <w:rFonts w:hint="eastAsia" w:ascii="Times New Roman" w:hAnsi="Times New Roman" w:cs="Times New Roman"/>
                <w:color w:val="000000"/>
                <w:szCs w:val="21"/>
              </w:rPr>
              <w:t>2.4</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23:26</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3.1</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16:25</w:t>
            </w:r>
          </w:p>
        </w:tc>
        <w:tc>
          <w:tcPr>
            <w:tcW w:w="91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54.</w:t>
            </w:r>
            <w:r>
              <w:rPr>
                <w:rFonts w:hint="eastAsia" w:ascii="Times New Roman" w:hAnsi="Times New Roman" w:cs="Times New Roman"/>
                <w:szCs w:val="21"/>
              </w:rPr>
              <w:t>1</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23:30</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5.2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N3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西厂界外1m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14:36</w:t>
            </w:r>
          </w:p>
        </w:tc>
        <w:tc>
          <w:tcPr>
            <w:tcW w:w="928"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5</w:t>
            </w:r>
            <w:r>
              <w:rPr>
                <w:rFonts w:hint="eastAsia" w:ascii="Times New Roman" w:hAnsi="Times New Roman" w:cs="Times New Roman"/>
                <w:color w:val="000000"/>
                <w:szCs w:val="21"/>
              </w:rPr>
              <w:t>4.9</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23:34</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5.6</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16:32</w:t>
            </w:r>
          </w:p>
        </w:tc>
        <w:tc>
          <w:tcPr>
            <w:tcW w:w="91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56.0</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23:38</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7.3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703"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 xml:space="preserve">N4 </w:t>
            </w:r>
          </w:p>
        </w:tc>
        <w:tc>
          <w:tcPr>
            <w:tcW w:w="1705" w:type="dxa"/>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ascii="Times New Roman" w:hAnsi="Times New Roman" w:cs="Times New Roman"/>
                <w:color w:val="000000"/>
                <w:szCs w:val="21"/>
              </w:rPr>
              <w:t>北厂界外1m</w:t>
            </w:r>
          </w:p>
        </w:tc>
        <w:tc>
          <w:tcPr>
            <w:tcW w:w="1063"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14:42</w:t>
            </w:r>
          </w:p>
        </w:tc>
        <w:tc>
          <w:tcPr>
            <w:tcW w:w="928"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cs="Times New Roman"/>
                <w:color w:val="000000"/>
                <w:szCs w:val="21"/>
              </w:rPr>
              <w:t>51.6</w:t>
            </w:r>
          </w:p>
        </w:tc>
        <w:tc>
          <w:tcPr>
            <w:tcW w:w="941"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23:42</w:t>
            </w:r>
          </w:p>
        </w:tc>
        <w:tc>
          <w:tcPr>
            <w:tcW w:w="83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2.7</w:t>
            </w:r>
          </w:p>
        </w:tc>
        <w:tc>
          <w:tcPr>
            <w:tcW w:w="94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16:40</w:t>
            </w:r>
          </w:p>
        </w:tc>
        <w:tc>
          <w:tcPr>
            <w:tcW w:w="914"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52.4</w:t>
            </w:r>
          </w:p>
        </w:tc>
        <w:tc>
          <w:tcPr>
            <w:tcW w:w="85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23:46</w:t>
            </w:r>
          </w:p>
        </w:tc>
        <w:tc>
          <w:tcPr>
            <w:tcW w:w="98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r>
              <w:rPr>
                <w:rFonts w:hint="eastAsia" w:ascii="Times New Roman" w:hAnsi="Times New Roman" w:cs="Times New Roman"/>
                <w:szCs w:val="21"/>
              </w:rPr>
              <w:t>3.5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2408" w:type="dxa"/>
            <w:gridSpan w:val="2"/>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hint="eastAsia" w:ascii="Times New Roman" w:hAnsi="Times New Roman" w:cs="Times New Roman"/>
                <w:color w:val="000000"/>
                <w:szCs w:val="21"/>
              </w:rPr>
              <w:t>标准值</w:t>
            </w:r>
          </w:p>
        </w:tc>
        <w:tc>
          <w:tcPr>
            <w:tcW w:w="1991" w:type="dxa"/>
            <w:gridSpan w:val="2"/>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cs="Times New Roman"/>
                <w:color w:val="000000"/>
                <w:szCs w:val="21"/>
              </w:rPr>
              <w:t>65</w:t>
            </w:r>
          </w:p>
        </w:tc>
        <w:tc>
          <w:tcPr>
            <w:tcW w:w="1772"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55</w:t>
            </w:r>
          </w:p>
        </w:tc>
        <w:tc>
          <w:tcPr>
            <w:tcW w:w="1855"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65</w:t>
            </w:r>
          </w:p>
        </w:tc>
        <w:tc>
          <w:tcPr>
            <w:tcW w:w="1841"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atLeast"/>
          <w:jc w:val="center"/>
        </w:trPr>
        <w:tc>
          <w:tcPr>
            <w:tcW w:w="2408" w:type="dxa"/>
            <w:gridSpan w:val="2"/>
            <w:tcBorders>
              <w:tl2br w:val="nil"/>
              <w:tr2bl w:val="nil"/>
            </w:tcBorders>
            <w:vAlign w:val="center"/>
          </w:tcPr>
          <w:p>
            <w:pPr>
              <w:widowControl/>
              <w:tabs>
                <w:tab w:val="left" w:pos="480"/>
              </w:tabs>
              <w:jc w:val="center"/>
              <w:rPr>
                <w:rFonts w:ascii="Times New Roman" w:hAnsi="Times New Roman" w:cs="Times New Roman"/>
                <w:color w:val="000000"/>
                <w:szCs w:val="21"/>
              </w:rPr>
            </w:pPr>
            <w:r>
              <w:rPr>
                <w:rFonts w:hint="eastAsia" w:ascii="Times New Roman" w:hAnsi="Times New Roman" w:cs="Times New Roman"/>
                <w:color w:val="000000"/>
                <w:szCs w:val="21"/>
              </w:rPr>
              <w:t>是否达标</w:t>
            </w:r>
          </w:p>
        </w:tc>
        <w:tc>
          <w:tcPr>
            <w:tcW w:w="1991" w:type="dxa"/>
            <w:gridSpan w:val="2"/>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cs="Times New Roman"/>
                <w:color w:val="000000"/>
                <w:szCs w:val="21"/>
              </w:rPr>
              <w:t>达标</w:t>
            </w:r>
          </w:p>
        </w:tc>
        <w:tc>
          <w:tcPr>
            <w:tcW w:w="1772"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c>
          <w:tcPr>
            <w:tcW w:w="1855"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c>
          <w:tcPr>
            <w:tcW w:w="1841"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达标</w:t>
            </w:r>
          </w:p>
        </w:tc>
      </w:tr>
    </w:tbl>
    <w:p>
      <w:pPr>
        <w:pStyle w:val="9"/>
        <w:tabs>
          <w:tab w:val="left" w:pos="9121"/>
        </w:tabs>
        <w:spacing w:line="360" w:lineRule="auto"/>
        <w:ind w:left="0"/>
        <w:rPr>
          <w:rFonts w:ascii="Times New Roman" w:hAnsi="Times New Roman" w:eastAsia="宋体" w:cs="宋体"/>
          <w:b/>
          <w:sz w:val="24"/>
          <w:szCs w:val="24"/>
        </w:rPr>
        <w:sectPr>
          <w:pgSz w:w="11906" w:h="16838"/>
          <w:pgMar w:top="1440" w:right="1800" w:bottom="1440" w:left="1800" w:header="851" w:footer="992" w:gutter="0"/>
          <w:cols w:space="425" w:num="1"/>
          <w:docGrid w:type="lines" w:linePitch="312" w:charSpace="0"/>
        </w:sectPr>
      </w:pPr>
    </w:p>
    <w:p>
      <w:pPr>
        <w:pStyle w:val="7"/>
        <w:spacing w:line="360" w:lineRule="auto"/>
        <w:ind w:left="0"/>
        <w:jc w:val="center"/>
        <w:rPr>
          <w:rFonts w:ascii="Times New Roman" w:hAnsi="Times New Roman" w:eastAsia="宋体" w:cs="宋体"/>
          <w:b/>
          <w:sz w:val="21"/>
          <w:szCs w:val="21"/>
        </w:rPr>
      </w:pPr>
      <w:r>
        <w:t>表</w:t>
      </w:r>
      <w:r>
        <w:rPr>
          <w:rFonts w:hint="eastAsia"/>
          <w:lang w:eastAsia="zh-CN"/>
        </w:rPr>
        <w:t>9-7  噪声监测时气象参数</w:t>
      </w:r>
    </w:p>
    <w:tbl>
      <w:tblPr>
        <w:tblStyle w:val="23"/>
        <w:tblW w:w="9638"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27"/>
        <w:gridCol w:w="1927"/>
        <w:gridCol w:w="1927"/>
        <w:gridCol w:w="1927"/>
        <w:gridCol w:w="1930"/>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3854" w:type="dxa"/>
            <w:gridSpan w:val="2"/>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检测日期及时间</w:t>
            </w:r>
          </w:p>
        </w:tc>
        <w:tc>
          <w:tcPr>
            <w:tcW w:w="1927"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天气状况</w:t>
            </w:r>
          </w:p>
        </w:tc>
        <w:tc>
          <w:tcPr>
            <w:tcW w:w="1927"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风向</w:t>
            </w:r>
          </w:p>
        </w:tc>
        <w:tc>
          <w:tcPr>
            <w:tcW w:w="1930"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风速 （m/s）</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201</w:t>
            </w:r>
            <w:r>
              <w:rPr>
                <w:rFonts w:hint="eastAsia" w:ascii="Times New Roman" w:hAnsi="Times New Roman" w:cs="Times New Roman"/>
                <w:szCs w:val="21"/>
              </w:rPr>
              <w:t>9.3</w:t>
            </w:r>
            <w:r>
              <w:rPr>
                <w:rFonts w:ascii="Times New Roman" w:hAnsi="Times New Roman" w:cs="Times New Roman"/>
                <w:szCs w:val="21"/>
              </w:rPr>
              <w:t>.</w:t>
            </w:r>
            <w:r>
              <w:rPr>
                <w:rFonts w:hint="eastAsia" w:ascii="Times New Roman" w:hAnsi="Times New Roman" w:cs="Times New Roman"/>
                <w:szCs w:val="21"/>
              </w:rPr>
              <w:t>2</w:t>
            </w:r>
            <w:r>
              <w:rPr>
                <w:rFonts w:ascii="Times New Roman" w:hAnsi="Times New Roman" w:cs="Times New Roman"/>
                <w:szCs w:val="21"/>
              </w:rPr>
              <w:t>1</w:t>
            </w: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10:17</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10:25</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10:32</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10:40</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14:21</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14:29</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14:36</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14:42</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22:07</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22:14</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22:20</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22:27</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23:19</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23:26</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23:34</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FF"/>
                <w:szCs w:val="21"/>
              </w:rPr>
            </w:pPr>
            <w:r>
              <w:rPr>
                <w:rFonts w:ascii="Times New Roman" w:hAnsi="Times New Roman" w:cs="Times New Roman"/>
                <w:color w:val="000000"/>
                <w:szCs w:val="21"/>
              </w:rPr>
              <w:t>23:42</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restart"/>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2019.3.22</w:t>
            </w:r>
          </w:p>
        </w:tc>
        <w:tc>
          <w:tcPr>
            <w:tcW w:w="1927"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12:11</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12:20</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12:28</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12:36</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16:17</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Borders>
              <w:tl2br w:val="nil"/>
              <w:tr2bl w:val="nil"/>
            </w:tcBorders>
            <w:vAlign w:val="center"/>
          </w:tcPr>
          <w:p>
            <w:pPr>
              <w:jc w:val="center"/>
              <w:rPr>
                <w:rFonts w:ascii="Times New Roman" w:hAnsi="Times New Roman" w:cs="Times New Roman"/>
                <w:szCs w:val="21"/>
              </w:rPr>
            </w:pPr>
          </w:p>
        </w:tc>
        <w:tc>
          <w:tcPr>
            <w:tcW w:w="1927" w:type="dxa"/>
            <w:tcBorders>
              <w:tl2br w:val="nil"/>
              <w:tr2bl w:val="nil"/>
            </w:tcBorders>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16:25</w:t>
            </w:r>
          </w:p>
        </w:tc>
        <w:tc>
          <w:tcPr>
            <w:tcW w:w="192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tcBorders>
              <w:tl2br w:val="nil"/>
              <w:tr2bl w:val="nil"/>
            </w:tcBorders>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tcBorders>
              <w:tl2br w:val="nil"/>
              <w:tr2bl w:val="nil"/>
            </w:tcBorders>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16:32</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16:40</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22:05</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2.5</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22:12</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22:20</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22:37</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23:21</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23:30</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23:38</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2.3</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927" w:type="dxa"/>
            <w:vMerge w:val="continue"/>
          </w:tcPr>
          <w:p>
            <w:pPr>
              <w:jc w:val="center"/>
              <w:rPr>
                <w:rFonts w:ascii="Times New Roman" w:hAnsi="Times New Roman" w:cs="Times New Roman"/>
                <w:szCs w:val="21"/>
              </w:rPr>
            </w:pPr>
          </w:p>
        </w:tc>
        <w:tc>
          <w:tcPr>
            <w:tcW w:w="1927" w:type="dxa"/>
            <w:vAlign w:val="center"/>
          </w:tcPr>
          <w:p>
            <w:pPr>
              <w:jc w:val="center"/>
              <w:rPr>
                <w:rFonts w:ascii="Times New Roman" w:hAnsi="Times New Roman" w:cs="Times New Roman"/>
                <w:color w:val="000000"/>
                <w:szCs w:val="21"/>
              </w:rPr>
            </w:pPr>
            <w:r>
              <w:rPr>
                <w:rFonts w:hint="eastAsia" w:ascii="Times New Roman" w:hAnsi="Times New Roman" w:eastAsia="宋体" w:cs="Times New Roman"/>
                <w:szCs w:val="21"/>
              </w:rPr>
              <w:t>23:46</w:t>
            </w:r>
          </w:p>
        </w:tc>
        <w:tc>
          <w:tcPr>
            <w:tcW w:w="1927" w:type="dxa"/>
            <w:vAlign w:val="center"/>
          </w:tcPr>
          <w:p>
            <w:pPr>
              <w:jc w:val="center"/>
              <w:rPr>
                <w:rFonts w:ascii="Times New Roman" w:hAnsi="Times New Roman" w:cs="Times New Roman"/>
                <w:szCs w:val="21"/>
              </w:rPr>
            </w:pPr>
            <w:r>
              <w:rPr>
                <w:rFonts w:hint="eastAsia" w:ascii="Times New Roman" w:hAnsi="Times New Roman" w:cs="Times New Roman"/>
                <w:szCs w:val="21"/>
              </w:rPr>
              <w:t>多云</w:t>
            </w:r>
          </w:p>
        </w:tc>
        <w:tc>
          <w:tcPr>
            <w:tcW w:w="1927" w:type="dxa"/>
            <w:vAlign w:val="center"/>
          </w:tcPr>
          <w:p>
            <w:pPr>
              <w:widowControl/>
              <w:jc w:val="center"/>
              <w:textAlignment w:val="center"/>
              <w:rPr>
                <w:rFonts w:ascii="Times New Roman" w:hAnsi="Times New Roman" w:cs="Times New Roman"/>
                <w:szCs w:val="21"/>
              </w:rPr>
            </w:pPr>
            <w:r>
              <w:rPr>
                <w:rFonts w:hint="eastAsia" w:ascii="Times New Roman" w:hAnsi="Times New Roman" w:cs="Times New Roman"/>
                <w:szCs w:val="21"/>
              </w:rPr>
              <w:t>东北</w:t>
            </w:r>
          </w:p>
        </w:tc>
        <w:tc>
          <w:tcPr>
            <w:tcW w:w="1930" w:type="dxa"/>
            <w:vAlign w:val="center"/>
          </w:tcPr>
          <w:p>
            <w:pPr>
              <w:widowControl/>
              <w:jc w:val="center"/>
              <w:textAlignment w:val="center"/>
              <w:rPr>
                <w:rFonts w:ascii="Times New Roman" w:hAnsi="Times New Roman" w:cs="Times New Roman"/>
                <w:color w:val="000000"/>
                <w:szCs w:val="21"/>
              </w:rPr>
            </w:pPr>
            <w:r>
              <w:rPr>
                <w:rFonts w:hint="eastAsia" w:ascii="Times New Roman" w:hAnsi="Times New Roman" w:eastAsia="宋体" w:cs="Times New Roman"/>
                <w:color w:val="000000"/>
                <w:szCs w:val="21"/>
              </w:rPr>
              <w:t>2.4</w:t>
            </w:r>
          </w:p>
        </w:tc>
      </w:tr>
    </w:tbl>
    <w:p>
      <w:pPr>
        <w:pStyle w:val="9"/>
        <w:spacing w:line="360" w:lineRule="auto"/>
        <w:ind w:left="0"/>
        <w:jc w:val="center"/>
        <w:rPr>
          <w:rFonts w:ascii="Times New Roman" w:hAnsi="Times New Roman" w:eastAsia="宋体" w:cs="宋体"/>
          <w:b/>
          <w:sz w:val="24"/>
          <w:szCs w:val="24"/>
        </w:rPr>
        <w:sectPr>
          <w:pgSz w:w="11906" w:h="16838"/>
          <w:pgMar w:top="1440" w:right="1800" w:bottom="1440" w:left="1800" w:header="851" w:footer="992" w:gutter="0"/>
          <w:cols w:space="425" w:num="1"/>
          <w:docGrid w:type="lines" w:linePitch="312" w:charSpace="0"/>
        </w:sectPr>
      </w:pPr>
    </w:p>
    <w:p>
      <w:pPr>
        <w:spacing w:line="360" w:lineRule="auto"/>
        <w:outlineLvl w:val="2"/>
        <w:rPr>
          <w:rFonts w:ascii="Times New Roman" w:hAnsi="Times New Roman" w:cs="Times New Roman"/>
          <w:b/>
          <w:sz w:val="24"/>
        </w:rPr>
      </w:pPr>
      <w:bookmarkStart w:id="331" w:name="_Toc471484709"/>
      <w:bookmarkStart w:id="332" w:name="_Toc23427"/>
      <w:r>
        <w:rPr>
          <w:rFonts w:ascii="Times New Roman" w:hAnsi="Times New Roman" w:cs="Times New Roman"/>
          <w:b/>
          <w:sz w:val="24"/>
        </w:rPr>
        <w:t>9.2.5总量控制考核情况</w:t>
      </w:r>
      <w:bookmarkEnd w:id="331"/>
      <w:bookmarkEnd w:id="332"/>
    </w:p>
    <w:p>
      <w:pPr>
        <w:snapToGrid w:val="0"/>
        <w:spacing w:line="360" w:lineRule="auto"/>
        <w:ind w:firstLine="435"/>
        <w:jc w:val="left"/>
        <w:rPr>
          <w:rFonts w:ascii="Times New Roman" w:hAnsi="Times New Roman" w:eastAsia="宋体" w:cs="宋体"/>
          <w:bCs/>
          <w:sz w:val="24"/>
        </w:rPr>
      </w:pPr>
      <w:r>
        <w:rPr>
          <w:rFonts w:hint="eastAsia" w:ascii="Times New Roman" w:hAnsi="Times New Roman" w:eastAsia="宋体" w:cs="宋体"/>
          <w:bCs/>
          <w:sz w:val="24"/>
        </w:rPr>
        <w:t>废水污染物的排放总量根据监测结果（即平均排放浓度）与年排放水平量计算，年排放水量按照环评估算的数值计算。经计算该项目生产废水排口的化学需氧量和悬浮物的年排放量；生活污水的排放量均符合丹阳市环保局对该项目《年产40万辆自行车生产线项目》的批复要求。</w:t>
      </w:r>
    </w:p>
    <w:p>
      <w:pPr>
        <w:pStyle w:val="9"/>
        <w:spacing w:line="360" w:lineRule="auto"/>
        <w:ind w:left="0" w:firstLine="360" w:firstLineChars="150"/>
        <w:rPr>
          <w:rFonts w:ascii="Times New Roman" w:hAnsi="Times New Roman" w:eastAsia="宋体" w:cs="宋体"/>
          <w:bCs/>
          <w:sz w:val="24"/>
          <w:szCs w:val="24"/>
        </w:rPr>
      </w:pPr>
      <w:r>
        <w:rPr>
          <w:rFonts w:hint="eastAsia" w:ascii="Times New Roman" w:hAnsi="Times New Roman" w:eastAsia="宋体" w:cs="宋体"/>
          <w:bCs/>
          <w:sz w:val="24"/>
          <w:szCs w:val="24"/>
        </w:rPr>
        <w:t>有组织废气污染物排放总量根据监测结果（即平均排放速率）与年排放时间计。该项目有组织废气中挥发性有机物、二氧化硫、氮氧化物和颗粒物的年排放量均符合丹阳市环境保护局对该项目，即符合《年产40万辆自行车生产线项目》的批复要求。污染物总量核算结果见表9-8。</w:t>
      </w:r>
    </w:p>
    <w:p>
      <w:pPr>
        <w:pStyle w:val="7"/>
        <w:bidi w:val="0"/>
      </w:pPr>
      <w:bookmarkStart w:id="333" w:name="_Toc23194_WPSOffice_Level2"/>
      <w:r>
        <w:t>表</w:t>
      </w:r>
      <w:r>
        <w:rPr>
          <w:rFonts w:hint="eastAsia"/>
          <w:lang w:eastAsia="zh-CN"/>
        </w:rPr>
        <w:t>9-8  污染物总量核算结果一览表</w:t>
      </w:r>
      <w:bookmarkEnd w:id="333"/>
    </w:p>
    <w:tbl>
      <w:tblPr>
        <w:tblStyle w:val="23"/>
        <w:tblW w:w="8533" w:type="dxa"/>
        <w:jc w:val="center"/>
        <w:tblInd w:w="-29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50"/>
        <w:gridCol w:w="1299"/>
        <w:gridCol w:w="1724"/>
        <w:gridCol w:w="1469"/>
        <w:gridCol w:w="1469"/>
        <w:gridCol w:w="1621"/>
        <w:gridCol w:w="1"/>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2249" w:type="dxa"/>
            <w:gridSpan w:val="2"/>
            <w:tcBorders>
              <w:tl2br w:val="nil"/>
              <w:tr2bl w:val="nil"/>
            </w:tcBorders>
            <w:vAlign w:val="center"/>
          </w:tcPr>
          <w:p>
            <w:pPr>
              <w:pStyle w:val="9"/>
              <w:ind w:left="0"/>
              <w:jc w:val="center"/>
              <w:rPr>
                <w:rFonts w:ascii="Times New Roman" w:hAnsi="Times New Roman" w:cs="Times New Roman" w:eastAsiaTheme="minorEastAsia"/>
                <w:b/>
                <w:color w:val="auto"/>
                <w:sz w:val="21"/>
                <w:szCs w:val="21"/>
              </w:rPr>
            </w:pPr>
            <w:r>
              <w:rPr>
                <w:rFonts w:ascii="Times New Roman" w:hAnsi="Times New Roman" w:cs="Times New Roman" w:eastAsiaTheme="minorEastAsia"/>
                <w:b/>
                <w:color w:val="auto"/>
                <w:sz w:val="21"/>
                <w:szCs w:val="21"/>
              </w:rPr>
              <w:t>污染物</w:t>
            </w:r>
          </w:p>
        </w:tc>
        <w:tc>
          <w:tcPr>
            <w:tcW w:w="1724" w:type="dxa"/>
            <w:tcBorders>
              <w:tl2br w:val="nil"/>
              <w:tr2bl w:val="nil"/>
            </w:tcBorders>
            <w:vAlign w:val="center"/>
          </w:tcPr>
          <w:p>
            <w:pPr>
              <w:pStyle w:val="9"/>
              <w:ind w:left="0"/>
              <w:jc w:val="center"/>
              <w:rPr>
                <w:rFonts w:ascii="Times New Roman" w:hAnsi="Times New Roman" w:cs="Times New Roman" w:eastAsiaTheme="minorEastAsia"/>
                <w:b/>
                <w:color w:val="auto"/>
                <w:sz w:val="21"/>
                <w:szCs w:val="21"/>
              </w:rPr>
            </w:pPr>
            <w:r>
              <w:rPr>
                <w:rFonts w:hint="eastAsia" w:ascii="Times New Roman" w:hAnsi="Times New Roman" w:cs="Times New Roman" w:eastAsiaTheme="minorEastAsia"/>
                <w:b/>
                <w:color w:val="auto"/>
                <w:sz w:val="21"/>
                <w:szCs w:val="21"/>
              </w:rPr>
              <w:t>环评、批复</w:t>
            </w:r>
            <w:r>
              <w:rPr>
                <w:rFonts w:ascii="Times New Roman" w:hAnsi="Times New Roman" w:cs="Times New Roman" w:eastAsiaTheme="minorEastAsia"/>
                <w:b/>
                <w:color w:val="auto"/>
                <w:sz w:val="21"/>
                <w:szCs w:val="21"/>
              </w:rPr>
              <w:t>总量指标（t/a）</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
                <w:color w:val="auto"/>
                <w:sz w:val="21"/>
                <w:szCs w:val="21"/>
                <w:lang w:val="en-US" w:eastAsia="zh-CN"/>
              </w:rPr>
            </w:pPr>
            <w:r>
              <w:rPr>
                <w:rFonts w:hint="default" w:ascii="Times New Roman" w:hAnsi="Times New Roman" w:cs="Times New Roman" w:eastAsiaTheme="minorEastAsia"/>
                <w:b/>
                <w:color w:val="auto"/>
                <w:sz w:val="21"/>
                <w:szCs w:val="21"/>
                <w:lang w:val="en-US" w:eastAsia="zh-CN"/>
              </w:rPr>
              <w:t>一期总量</w:t>
            </w:r>
          </w:p>
          <w:p>
            <w:pPr>
              <w:pStyle w:val="9"/>
              <w:ind w:left="0"/>
              <w:jc w:val="center"/>
              <w:rPr>
                <w:rFonts w:hint="default" w:ascii="Times New Roman" w:hAnsi="Times New Roman" w:cs="Times New Roman" w:eastAsiaTheme="minorEastAsia"/>
                <w:b/>
                <w:color w:val="auto"/>
                <w:sz w:val="21"/>
                <w:szCs w:val="21"/>
                <w:lang w:val="en-US" w:eastAsia="zh-CN"/>
              </w:rPr>
            </w:pPr>
            <w:r>
              <w:rPr>
                <w:rFonts w:hint="default" w:ascii="Times New Roman" w:hAnsi="Times New Roman" w:cs="Times New Roman" w:eastAsiaTheme="minorEastAsia"/>
                <w:b/>
                <w:color w:val="auto"/>
                <w:sz w:val="21"/>
                <w:szCs w:val="21"/>
                <w:lang w:val="en-US" w:eastAsia="zh-CN"/>
              </w:rPr>
              <w:t>（t/a）</w:t>
            </w:r>
          </w:p>
        </w:tc>
        <w:tc>
          <w:tcPr>
            <w:tcW w:w="1469" w:type="dxa"/>
            <w:tcBorders>
              <w:tl2br w:val="nil"/>
              <w:tr2bl w:val="nil"/>
            </w:tcBorders>
            <w:vAlign w:val="center"/>
          </w:tcPr>
          <w:p>
            <w:pPr>
              <w:pStyle w:val="9"/>
              <w:ind w:left="0"/>
              <w:jc w:val="center"/>
              <w:rPr>
                <w:rFonts w:ascii="Times New Roman" w:hAnsi="Times New Roman" w:cs="Times New Roman" w:eastAsiaTheme="minorEastAsia"/>
                <w:b/>
                <w:color w:val="auto"/>
                <w:sz w:val="21"/>
                <w:szCs w:val="21"/>
              </w:rPr>
            </w:pPr>
            <w:r>
              <w:rPr>
                <w:rFonts w:ascii="Times New Roman" w:hAnsi="Times New Roman" w:cs="Times New Roman" w:eastAsiaTheme="minorEastAsia"/>
                <w:b/>
                <w:color w:val="auto"/>
                <w:sz w:val="21"/>
                <w:szCs w:val="21"/>
              </w:rPr>
              <w:t>实测核总量（t/a）</w:t>
            </w:r>
          </w:p>
        </w:tc>
        <w:tc>
          <w:tcPr>
            <w:tcW w:w="1621" w:type="dxa"/>
            <w:tcBorders>
              <w:tl2br w:val="nil"/>
              <w:tr2bl w:val="nil"/>
            </w:tcBorders>
            <w:vAlign w:val="center"/>
          </w:tcPr>
          <w:p>
            <w:pPr>
              <w:pStyle w:val="9"/>
              <w:ind w:left="0"/>
              <w:jc w:val="center"/>
              <w:rPr>
                <w:rFonts w:ascii="Times New Roman" w:hAnsi="Times New Roman" w:cs="Times New Roman" w:eastAsiaTheme="minorEastAsia"/>
                <w:b/>
                <w:color w:val="auto"/>
                <w:sz w:val="21"/>
                <w:szCs w:val="21"/>
              </w:rPr>
            </w:pPr>
            <w:r>
              <w:rPr>
                <w:rFonts w:ascii="Times New Roman" w:hAnsi="Times New Roman" w:cs="Times New Roman" w:eastAsiaTheme="minorEastAsia"/>
                <w:b/>
                <w:color w:val="auto"/>
                <w:sz w:val="21"/>
                <w:szCs w:val="21"/>
              </w:rPr>
              <w:t>是否符合批复要求</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restart"/>
            <w:tcBorders>
              <w:tl2br w:val="nil"/>
              <w:tr2bl w:val="nil"/>
            </w:tcBorders>
            <w:vAlign w:val="center"/>
          </w:tcPr>
          <w:p>
            <w:pPr>
              <w:pStyle w:val="9"/>
              <w:ind w:left="0"/>
              <w:jc w:val="center"/>
              <w:rPr>
                <w:rFonts w:hint="eastAsia"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生产</w:t>
            </w:r>
          </w:p>
          <w:p>
            <w:pPr>
              <w:pStyle w:val="9"/>
              <w:ind w:left="0"/>
              <w:jc w:val="center"/>
              <w:rPr>
                <w:rFonts w:ascii="Times New Roman" w:hAnsi="Times New Roman" w:cs="Times New Roman" w:eastAsiaTheme="minorEastAsia"/>
                <w:bCs/>
                <w:color w:val="auto"/>
                <w:sz w:val="21"/>
                <w:szCs w:val="21"/>
              </w:rPr>
            </w:pPr>
            <w:r>
              <w:rPr>
                <w:rFonts w:ascii="Times New Roman" w:hAnsi="Times New Roman" w:cs="Times New Roman" w:eastAsiaTheme="minorEastAsia"/>
                <w:bCs/>
                <w:color w:val="auto"/>
                <w:sz w:val="21"/>
                <w:szCs w:val="21"/>
              </w:rPr>
              <w:t>废水</w:t>
            </w: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ascii="Times New Roman" w:hAnsi="Times New Roman" w:cs="Times New Roman" w:eastAsiaTheme="minorEastAsia"/>
                <w:bCs/>
                <w:color w:val="auto"/>
                <w:sz w:val="21"/>
                <w:szCs w:val="21"/>
              </w:rPr>
              <w:t>废水排放量</w:t>
            </w:r>
          </w:p>
        </w:tc>
        <w:tc>
          <w:tcPr>
            <w:tcW w:w="1724"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3135</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2266</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2266</w:t>
            </w:r>
          </w:p>
        </w:tc>
        <w:tc>
          <w:tcPr>
            <w:tcW w:w="1621" w:type="dxa"/>
            <w:tcBorders>
              <w:tl2br w:val="nil"/>
              <w:tr2bl w:val="nil"/>
            </w:tcBorders>
            <w:vAlign w:val="top"/>
          </w:tcPr>
          <w:p>
            <w:pPr>
              <w:jc w:val="center"/>
              <w:rPr>
                <w:rFonts w:ascii="Times New Roman" w:hAnsi="Times New Roman" w:cs="Times New Roman" w:eastAsiaTheme="minorEastAsia"/>
                <w:color w:val="auto"/>
                <w:sz w:val="21"/>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21" w:hRule="atLeast"/>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ascii="Times New Roman" w:hAnsi="Times New Roman" w:cs="Times New Roman" w:eastAsiaTheme="minorEastAsia"/>
                <w:bCs/>
                <w:color w:val="auto"/>
                <w:sz w:val="21"/>
                <w:szCs w:val="21"/>
              </w:rPr>
              <w:t>化学需氧量</w:t>
            </w:r>
          </w:p>
        </w:tc>
        <w:tc>
          <w:tcPr>
            <w:tcW w:w="1724" w:type="dxa"/>
            <w:tcBorders>
              <w:tl2br w:val="nil"/>
              <w:tr2bl w:val="nil"/>
            </w:tcBorders>
            <w:vAlign w:val="bottom"/>
          </w:tcPr>
          <w:p>
            <w:pPr>
              <w:jc w:val="center"/>
              <w:rPr>
                <w:rFonts w:ascii="Times New Roman" w:hAnsi="Times New Roman" w:cs="Times New Roman"/>
                <w:bCs/>
                <w:color w:val="auto"/>
                <w:szCs w:val="21"/>
              </w:rPr>
            </w:pPr>
            <w:r>
              <w:rPr>
                <w:rFonts w:ascii="Times New Roman" w:hAnsi="Times New Roman" w:eastAsia="仿宋_GB2312"/>
                <w:color w:val="auto"/>
                <w:szCs w:val="21"/>
              </w:rPr>
              <w:t>0.</w:t>
            </w:r>
            <w:r>
              <w:rPr>
                <w:rFonts w:hint="eastAsia" w:ascii="Times New Roman" w:hAnsi="Times New Roman" w:eastAsia="仿宋_GB2312"/>
                <w:color w:val="auto"/>
                <w:szCs w:val="21"/>
              </w:rPr>
              <w:t>141</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0.102</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0.099</w:t>
            </w:r>
          </w:p>
        </w:tc>
        <w:tc>
          <w:tcPr>
            <w:tcW w:w="1621" w:type="dxa"/>
            <w:tcBorders>
              <w:tl2br w:val="nil"/>
              <w:tr2bl w:val="nil"/>
            </w:tcBorders>
            <w:vAlign w:val="top"/>
          </w:tcPr>
          <w:p>
            <w:pPr>
              <w:jc w:val="center"/>
              <w:rPr>
                <w:rFonts w:ascii="Times New Roman" w:hAnsi="Times New Roman" w:cs="Times New Roman"/>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悬浮物</w:t>
            </w:r>
          </w:p>
        </w:tc>
        <w:tc>
          <w:tcPr>
            <w:tcW w:w="1724" w:type="dxa"/>
            <w:tcBorders>
              <w:tl2br w:val="nil"/>
              <w:tr2bl w:val="nil"/>
            </w:tcBorders>
            <w:vAlign w:val="bottom"/>
          </w:tcPr>
          <w:p>
            <w:pPr>
              <w:jc w:val="center"/>
              <w:rPr>
                <w:rFonts w:ascii="Times New Roman" w:hAnsi="Times New Roman" w:cs="Times New Roman"/>
                <w:bCs/>
                <w:color w:val="auto"/>
                <w:szCs w:val="21"/>
              </w:rPr>
            </w:pPr>
            <w:r>
              <w:rPr>
                <w:rFonts w:ascii="Times New Roman" w:hAnsi="Times New Roman" w:eastAsia="仿宋_GB2312"/>
                <w:color w:val="auto"/>
                <w:szCs w:val="21"/>
              </w:rPr>
              <w:t>0.</w:t>
            </w:r>
            <w:r>
              <w:rPr>
                <w:rFonts w:hint="eastAsia" w:ascii="Times New Roman" w:hAnsi="Times New Roman" w:eastAsia="仿宋_GB2312"/>
                <w:color w:val="auto"/>
                <w:szCs w:val="21"/>
              </w:rPr>
              <w:t>094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0.068</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0.056</w:t>
            </w:r>
          </w:p>
        </w:tc>
        <w:tc>
          <w:tcPr>
            <w:tcW w:w="1621" w:type="dxa"/>
            <w:tcBorders>
              <w:tl2br w:val="nil"/>
              <w:tr2bl w:val="nil"/>
            </w:tcBorders>
            <w:vAlign w:val="top"/>
          </w:tcPr>
          <w:p>
            <w:pPr>
              <w:jc w:val="center"/>
              <w:rPr>
                <w:rFonts w:ascii="Times New Roman" w:hAnsi="Times New Roman" w:cs="Times New Roman"/>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hint="eastAsia"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石油类</w:t>
            </w:r>
          </w:p>
        </w:tc>
        <w:tc>
          <w:tcPr>
            <w:tcW w:w="1724" w:type="dxa"/>
            <w:tcBorders>
              <w:tl2br w:val="nil"/>
              <w:tr2bl w:val="nil"/>
            </w:tcBorders>
            <w:vAlign w:val="bottom"/>
          </w:tcPr>
          <w:p>
            <w:pPr>
              <w:jc w:val="center"/>
              <w:rPr>
                <w:rFonts w:hint="default" w:ascii="Times New Roman" w:hAnsi="Times New Roman" w:eastAsia="仿宋_GB2312"/>
                <w:color w:val="auto"/>
                <w:szCs w:val="21"/>
                <w:lang w:val="en-US" w:eastAsia="zh-CN"/>
              </w:rPr>
            </w:pPr>
            <w:r>
              <w:rPr>
                <w:rFonts w:hint="eastAsia" w:ascii="Times New Roman" w:hAnsi="Times New Roman" w:eastAsia="仿宋_GB2312"/>
                <w:color w:val="auto"/>
                <w:szCs w:val="21"/>
                <w:lang w:val="en-US" w:eastAsia="zh-CN"/>
              </w:rPr>
              <w:t>0.006</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0.001</w:t>
            </w:r>
          </w:p>
        </w:tc>
        <w:tc>
          <w:tcPr>
            <w:tcW w:w="1621" w:type="dxa"/>
            <w:tcBorders>
              <w:tl2br w:val="nil"/>
              <w:tr2bl w:val="nil"/>
            </w:tcBorders>
            <w:vAlign w:val="top"/>
          </w:tcPr>
          <w:p>
            <w:pPr>
              <w:jc w:val="center"/>
              <w:rPr>
                <w:rFonts w:ascii="Times New Roman" w:hAnsi="Times New Roman" w:cs="Times New Roman"/>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LAS</w:t>
            </w:r>
          </w:p>
        </w:tc>
        <w:tc>
          <w:tcPr>
            <w:tcW w:w="1724" w:type="dxa"/>
            <w:tcBorders>
              <w:tl2br w:val="nil"/>
              <w:tr2bl w:val="nil"/>
            </w:tcBorders>
            <w:vAlign w:val="bottom"/>
          </w:tcPr>
          <w:p>
            <w:pPr>
              <w:jc w:val="center"/>
              <w:rPr>
                <w:rFonts w:hint="default" w:ascii="Times New Roman" w:hAnsi="Times New Roman" w:eastAsia="仿宋_GB2312"/>
                <w:color w:val="auto"/>
                <w:szCs w:val="21"/>
                <w:lang w:val="en-US" w:eastAsia="zh-CN"/>
              </w:rPr>
            </w:pPr>
            <w:r>
              <w:rPr>
                <w:rFonts w:hint="eastAsia" w:ascii="Times New Roman" w:hAnsi="Times New Roman" w:eastAsia="仿宋_GB2312"/>
                <w:color w:val="auto"/>
                <w:szCs w:val="21"/>
                <w:lang w:val="en-US" w:eastAsia="zh-CN"/>
              </w:rPr>
              <w:t>0.001</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w:t>
            </w:r>
          </w:p>
        </w:tc>
        <w:tc>
          <w:tcPr>
            <w:tcW w:w="1621" w:type="dxa"/>
            <w:tcBorders>
              <w:tl2br w:val="nil"/>
              <w:tr2bl w:val="nil"/>
            </w:tcBorders>
            <w:vAlign w:val="top"/>
          </w:tcPr>
          <w:p>
            <w:pPr>
              <w:jc w:val="center"/>
              <w:rPr>
                <w:rFonts w:ascii="Times New Roman" w:hAnsi="Times New Roman" w:cs="Times New Roman"/>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restart"/>
            <w:tcBorders>
              <w:tl2br w:val="nil"/>
              <w:tr2bl w:val="nil"/>
            </w:tcBorders>
            <w:vAlign w:val="center"/>
          </w:tcPr>
          <w:p>
            <w:pPr>
              <w:pStyle w:val="9"/>
              <w:ind w:left="0"/>
              <w:jc w:val="center"/>
              <w:rPr>
                <w:rFonts w:hint="eastAsia"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生活</w:t>
            </w:r>
          </w:p>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污水</w:t>
            </w: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废水接管量</w:t>
            </w:r>
          </w:p>
        </w:tc>
        <w:tc>
          <w:tcPr>
            <w:tcW w:w="1724"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2880</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2880</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2880</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ascii="Times New Roman" w:hAnsi="Times New Roman" w:cs="Times New Roman" w:eastAsiaTheme="minorEastAsia"/>
                <w:bCs/>
                <w:color w:val="auto"/>
                <w:sz w:val="21"/>
                <w:szCs w:val="21"/>
              </w:rPr>
              <w:t>化学需氧量</w:t>
            </w:r>
          </w:p>
        </w:tc>
        <w:tc>
          <w:tcPr>
            <w:tcW w:w="1724" w:type="dxa"/>
            <w:tcBorders>
              <w:tl2br w:val="nil"/>
              <w:tr2bl w:val="nil"/>
            </w:tcBorders>
            <w:vAlign w:val="center"/>
          </w:tcPr>
          <w:p>
            <w:pPr>
              <w:jc w:val="center"/>
              <w:rPr>
                <w:rFonts w:ascii="Times New Roman" w:hAnsi="Times New Roman" w:cs="Times New Roman"/>
                <w:bCs/>
                <w:color w:val="auto"/>
                <w:szCs w:val="21"/>
              </w:rPr>
            </w:pPr>
            <w:r>
              <w:rPr>
                <w:rFonts w:ascii="Times New Roman" w:hAnsi="Times New Roman" w:eastAsia="仿宋_GB2312"/>
                <w:color w:val="auto"/>
                <w:szCs w:val="21"/>
              </w:rPr>
              <w:t>0.144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0.144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0.045</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悬浮物</w:t>
            </w:r>
          </w:p>
        </w:tc>
        <w:tc>
          <w:tcPr>
            <w:tcW w:w="1724" w:type="dxa"/>
            <w:tcBorders>
              <w:tl2br w:val="nil"/>
              <w:tr2bl w:val="nil"/>
            </w:tcBorders>
            <w:vAlign w:val="center"/>
          </w:tcPr>
          <w:p>
            <w:pPr>
              <w:jc w:val="center"/>
              <w:rPr>
                <w:rFonts w:ascii="Times New Roman" w:hAnsi="Times New Roman" w:cs="Times New Roman"/>
                <w:bCs/>
                <w:color w:val="auto"/>
                <w:szCs w:val="21"/>
              </w:rPr>
            </w:pPr>
            <w:r>
              <w:rPr>
                <w:rFonts w:ascii="Times New Roman" w:hAnsi="Times New Roman" w:eastAsia="仿宋_GB2312"/>
                <w:color w:val="auto"/>
                <w:szCs w:val="21"/>
              </w:rPr>
              <w:t>0.029</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0.029</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0.006</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ascii="Times New Roman" w:hAnsi="Times New Roman" w:cs="Times New Roman" w:eastAsiaTheme="minorEastAsia"/>
                <w:bCs/>
                <w:color w:val="auto"/>
                <w:sz w:val="21"/>
                <w:szCs w:val="21"/>
              </w:rPr>
              <w:t>氨氮</w:t>
            </w:r>
          </w:p>
        </w:tc>
        <w:tc>
          <w:tcPr>
            <w:tcW w:w="1724" w:type="dxa"/>
            <w:tcBorders>
              <w:tl2br w:val="nil"/>
              <w:tr2bl w:val="nil"/>
            </w:tcBorders>
            <w:vAlign w:val="center"/>
          </w:tcPr>
          <w:p>
            <w:pPr>
              <w:jc w:val="center"/>
              <w:rPr>
                <w:rFonts w:ascii="Times New Roman" w:hAnsi="Times New Roman" w:cs="Times New Roman"/>
                <w:bCs/>
                <w:color w:val="auto"/>
                <w:szCs w:val="21"/>
              </w:rPr>
            </w:pPr>
            <w:r>
              <w:rPr>
                <w:rFonts w:ascii="Times New Roman" w:hAnsi="Times New Roman" w:eastAsia="仿宋_GB2312"/>
                <w:color w:val="auto"/>
                <w:szCs w:val="21"/>
              </w:rPr>
              <w:t>0.014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0.014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0.006</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总磷</w:t>
            </w:r>
          </w:p>
        </w:tc>
        <w:tc>
          <w:tcPr>
            <w:tcW w:w="1724" w:type="dxa"/>
            <w:tcBorders>
              <w:tl2br w:val="nil"/>
              <w:tr2bl w:val="nil"/>
            </w:tcBorders>
            <w:vAlign w:val="center"/>
          </w:tcPr>
          <w:p>
            <w:pPr>
              <w:jc w:val="center"/>
              <w:rPr>
                <w:rFonts w:ascii="Times New Roman" w:hAnsi="Times New Roman" w:cs="Times New Roman"/>
                <w:bCs/>
                <w:color w:val="auto"/>
                <w:szCs w:val="21"/>
              </w:rPr>
            </w:pPr>
            <w:r>
              <w:rPr>
                <w:rFonts w:ascii="Times New Roman" w:hAnsi="Times New Roman" w:eastAsia="仿宋_GB2312"/>
                <w:color w:val="auto"/>
                <w:szCs w:val="21"/>
              </w:rPr>
              <w:t>0.001</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0.001</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0.001</w:t>
            </w:r>
          </w:p>
        </w:tc>
        <w:tc>
          <w:tcPr>
            <w:tcW w:w="1621" w:type="dxa"/>
            <w:tcBorders>
              <w:tl2br w:val="nil"/>
              <w:tr2bl w:val="nil"/>
            </w:tcBorders>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动植物油</w:t>
            </w:r>
          </w:p>
        </w:tc>
        <w:tc>
          <w:tcPr>
            <w:tcW w:w="1724" w:type="dxa"/>
            <w:tcBorders>
              <w:tl2br w:val="nil"/>
              <w:tr2bl w:val="nil"/>
            </w:tcBorders>
            <w:vAlign w:val="center"/>
          </w:tcPr>
          <w:p>
            <w:pPr>
              <w:jc w:val="center"/>
              <w:rPr>
                <w:rFonts w:ascii="Times New Roman" w:hAnsi="Times New Roman" w:cs="Times New Roman"/>
                <w:bCs/>
                <w:color w:val="auto"/>
                <w:szCs w:val="21"/>
              </w:rPr>
            </w:pPr>
            <w:r>
              <w:rPr>
                <w:rFonts w:ascii="Times New Roman" w:hAnsi="Times New Roman" w:eastAsia="仿宋_GB2312"/>
                <w:color w:val="auto"/>
                <w:szCs w:val="21"/>
              </w:rPr>
              <w:t>0.003</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0.003</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0.001</w:t>
            </w:r>
          </w:p>
        </w:tc>
        <w:tc>
          <w:tcPr>
            <w:tcW w:w="1621" w:type="dxa"/>
            <w:tcBorders>
              <w:tl2br w:val="nil"/>
              <w:tr2bl w:val="nil"/>
            </w:tcBorders>
          </w:tcPr>
          <w:p>
            <w:pPr>
              <w:jc w:val="center"/>
              <w:rPr>
                <w:rFonts w:hint="eastAsia" w:ascii="Times New Roman" w:hAnsi="Times New Roman" w:cs="Times New Roman" w:eastAsiaTheme="minorEastAsia"/>
                <w:bCs/>
                <w:color w:val="auto"/>
                <w:szCs w:val="21"/>
                <w:lang w:val="en-US" w:eastAsia="zh-CN"/>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restart"/>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有组织废气</w:t>
            </w:r>
          </w:p>
        </w:tc>
        <w:tc>
          <w:tcPr>
            <w:tcW w:w="1299" w:type="dxa"/>
            <w:tcBorders>
              <w:tl2br w:val="nil"/>
              <w:tr2bl w:val="nil"/>
            </w:tcBorders>
            <w:vAlign w:val="center"/>
          </w:tcPr>
          <w:p>
            <w:pPr>
              <w:widowControl/>
              <w:jc w:val="center"/>
              <w:rPr>
                <w:rFonts w:hint="eastAsia" w:ascii="Times New Roman" w:hAnsi="Times New Roman" w:cs="Times New Roman" w:eastAsiaTheme="minorEastAsia"/>
                <w:bCs/>
                <w:color w:val="auto"/>
                <w:szCs w:val="21"/>
                <w:lang w:val="en-US" w:eastAsia="zh-CN"/>
              </w:rPr>
            </w:pPr>
            <w:r>
              <w:rPr>
                <w:rFonts w:hint="eastAsia" w:ascii="Times New Roman" w:hAnsi="Times New Roman" w:cs="Times New Roman"/>
                <w:bCs/>
                <w:color w:val="auto"/>
                <w:szCs w:val="21"/>
                <w:lang w:val="en-US" w:eastAsia="zh-CN"/>
              </w:rPr>
              <w:t>硫酸雾</w:t>
            </w:r>
          </w:p>
        </w:tc>
        <w:tc>
          <w:tcPr>
            <w:tcW w:w="1724" w:type="dxa"/>
            <w:tcBorders>
              <w:tl2br w:val="nil"/>
              <w:tr2bl w:val="nil"/>
            </w:tcBorders>
            <w:vAlign w:val="bottom"/>
          </w:tcPr>
          <w:p>
            <w:pPr>
              <w:jc w:val="center"/>
              <w:rPr>
                <w:rFonts w:hint="default" w:ascii="Times New Roman" w:hAnsi="Times New Roman" w:eastAsia="仿宋_GB2312" w:cs="Times New Roman"/>
                <w:bCs/>
                <w:color w:val="auto"/>
                <w:szCs w:val="21"/>
                <w:lang w:val="en-US" w:eastAsia="zh-CN"/>
              </w:rPr>
            </w:pPr>
            <w:r>
              <w:rPr>
                <w:rFonts w:hint="eastAsia" w:ascii="Times New Roman" w:hAnsi="Times New Roman" w:eastAsia="仿宋_GB2312" w:cs="Times New Roman"/>
                <w:bCs/>
                <w:color w:val="auto"/>
                <w:szCs w:val="21"/>
                <w:lang w:val="en-US" w:eastAsia="zh-CN"/>
              </w:rPr>
              <w:t>0.04</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hint="eastAsia" w:ascii="Times New Roman" w:hAnsi="Times New Roman" w:cs="Times New Roman" w:eastAsiaTheme="minorEastAsia"/>
                <w:bCs/>
                <w:color w:val="auto"/>
                <w:sz w:val="21"/>
                <w:szCs w:val="21"/>
              </w:rPr>
            </w:pPr>
          </w:p>
        </w:tc>
        <w:tc>
          <w:tcPr>
            <w:tcW w:w="1299" w:type="dxa"/>
            <w:tcBorders>
              <w:tl2br w:val="nil"/>
              <w:tr2bl w:val="nil"/>
            </w:tcBorders>
            <w:vAlign w:val="center"/>
          </w:tcPr>
          <w:p>
            <w:pPr>
              <w:widowControl/>
              <w:jc w:val="center"/>
              <w:rPr>
                <w:rFonts w:ascii="Times New Roman" w:hAnsi="Times New Roman" w:cs="Times New Roman"/>
                <w:bCs/>
                <w:color w:val="auto"/>
                <w:szCs w:val="21"/>
              </w:rPr>
            </w:pPr>
            <w:r>
              <w:rPr>
                <w:rFonts w:ascii="Times New Roman" w:hAnsi="Times New Roman" w:cs="Times New Roman"/>
                <w:bCs/>
                <w:color w:val="auto"/>
                <w:szCs w:val="21"/>
              </w:rPr>
              <w:t>SO</w:t>
            </w:r>
            <w:r>
              <w:rPr>
                <w:rFonts w:ascii="Times New Roman" w:hAnsi="Times New Roman" w:cs="Times New Roman"/>
                <w:bCs/>
                <w:color w:val="auto"/>
                <w:szCs w:val="21"/>
                <w:vertAlign w:val="subscript"/>
              </w:rPr>
              <w:t>2</w:t>
            </w:r>
          </w:p>
        </w:tc>
        <w:tc>
          <w:tcPr>
            <w:tcW w:w="1724" w:type="dxa"/>
            <w:tcBorders>
              <w:tl2br w:val="nil"/>
              <w:tr2bl w:val="nil"/>
            </w:tcBorders>
            <w:vAlign w:val="bottom"/>
          </w:tcPr>
          <w:p>
            <w:pPr>
              <w:jc w:val="center"/>
              <w:rPr>
                <w:rFonts w:hint="eastAsia" w:ascii="Times New Roman" w:hAnsi="Times New Roman" w:eastAsia="仿宋_GB2312"/>
                <w:color w:val="auto"/>
                <w:szCs w:val="21"/>
                <w:lang w:val="en-US" w:eastAsia="zh-CN"/>
              </w:rPr>
            </w:pPr>
            <w:r>
              <w:rPr>
                <w:rFonts w:ascii="Times New Roman" w:hAnsi="Times New Roman" w:eastAsia="仿宋_GB2312"/>
                <w:color w:val="auto"/>
                <w:szCs w:val="21"/>
              </w:rPr>
              <w:t>0.01</w:t>
            </w:r>
            <w:r>
              <w:rPr>
                <w:rFonts w:hint="eastAsia" w:ascii="Times New Roman" w:hAnsi="Times New Roman" w:eastAsia="仿宋_GB2312"/>
                <w:color w:val="auto"/>
                <w:szCs w:val="21"/>
                <w:lang w:val="en-US" w:eastAsia="zh-CN"/>
              </w:rPr>
              <w:t>8</w:t>
            </w:r>
          </w:p>
        </w:tc>
        <w:tc>
          <w:tcPr>
            <w:tcW w:w="1469" w:type="dxa"/>
            <w:tcBorders>
              <w:tl2br w:val="nil"/>
              <w:tr2bl w:val="nil"/>
            </w:tcBorders>
            <w:vAlign w:val="center"/>
          </w:tcPr>
          <w:p>
            <w:pPr>
              <w:pStyle w:val="9"/>
              <w:ind w:left="0" w:leftChars="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0.016</w:t>
            </w:r>
          </w:p>
        </w:tc>
        <w:tc>
          <w:tcPr>
            <w:tcW w:w="1469" w:type="dxa"/>
            <w:tcBorders>
              <w:tl2br w:val="nil"/>
              <w:tr2bl w:val="nil"/>
            </w:tcBorders>
            <w:vAlign w:val="center"/>
          </w:tcPr>
          <w:p>
            <w:pPr>
              <w:pStyle w:val="9"/>
              <w:ind w:left="0" w:leftChars="0"/>
              <w:jc w:val="center"/>
              <w:rPr>
                <w:rFonts w:hint="eastAsia"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0.015</w:t>
            </w:r>
          </w:p>
        </w:tc>
        <w:tc>
          <w:tcPr>
            <w:tcW w:w="1621" w:type="dxa"/>
            <w:tcBorders>
              <w:tl2br w:val="nil"/>
              <w:tr2bl w:val="nil"/>
            </w:tcBorders>
            <w:vAlign w:val="top"/>
          </w:tcPr>
          <w:p>
            <w:pPr>
              <w:jc w:val="center"/>
              <w:rPr>
                <w:rFonts w:hint="eastAsia" w:ascii="Times New Roman" w:hAnsi="Times New Roman" w:cs="Times New Roman"/>
                <w:bCs/>
                <w:color w:val="auto"/>
                <w:szCs w:val="21"/>
                <w:lang w:val="en-US" w:eastAsia="zh-CN"/>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widowControl/>
              <w:jc w:val="center"/>
              <w:rPr>
                <w:rFonts w:ascii="Times New Roman" w:hAnsi="Times New Roman" w:cs="Times New Roman"/>
                <w:bCs/>
                <w:color w:val="auto"/>
                <w:szCs w:val="21"/>
              </w:rPr>
            </w:pPr>
            <w:r>
              <w:rPr>
                <w:rFonts w:ascii="Times New Roman" w:hAnsi="Times New Roman" w:cs="Times New Roman"/>
                <w:bCs/>
                <w:color w:val="auto"/>
                <w:szCs w:val="21"/>
              </w:rPr>
              <w:t>NOx</w:t>
            </w:r>
          </w:p>
        </w:tc>
        <w:tc>
          <w:tcPr>
            <w:tcW w:w="1724" w:type="dxa"/>
            <w:tcBorders>
              <w:tl2br w:val="nil"/>
              <w:tr2bl w:val="nil"/>
            </w:tcBorders>
            <w:vAlign w:val="bottom"/>
          </w:tcPr>
          <w:p>
            <w:pPr>
              <w:jc w:val="center"/>
              <w:rPr>
                <w:rFonts w:hint="default" w:ascii="Times New Roman" w:hAnsi="Times New Roman" w:cs="Times New Roman"/>
                <w:bCs/>
                <w:color w:val="auto"/>
                <w:szCs w:val="21"/>
                <w:lang w:val="en-US"/>
              </w:rPr>
            </w:pPr>
            <w:r>
              <w:rPr>
                <w:rFonts w:ascii="Times New Roman" w:hAnsi="Times New Roman" w:eastAsia="仿宋_GB2312"/>
                <w:color w:val="auto"/>
                <w:szCs w:val="21"/>
              </w:rPr>
              <w:t>0.</w:t>
            </w:r>
            <w:r>
              <w:rPr>
                <w:rFonts w:hint="eastAsia" w:ascii="Times New Roman" w:hAnsi="Times New Roman" w:eastAsia="仿宋_GB2312"/>
                <w:color w:val="auto"/>
                <w:szCs w:val="21"/>
                <w:lang w:val="en-US" w:eastAsia="zh-CN"/>
              </w:rPr>
              <w:t>113</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0.096</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0.093</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widowControl/>
              <w:jc w:val="center"/>
              <w:rPr>
                <w:rFonts w:ascii="Times New Roman" w:hAnsi="Times New Roman" w:cs="Times New Roman"/>
                <w:bCs/>
                <w:color w:val="auto"/>
                <w:szCs w:val="21"/>
              </w:rPr>
            </w:pPr>
            <w:r>
              <w:rPr>
                <w:rFonts w:hint="eastAsia" w:ascii="Times New Roman" w:hAnsi="Times New Roman" w:cs="Times New Roman"/>
                <w:bCs/>
                <w:color w:val="auto"/>
                <w:szCs w:val="21"/>
              </w:rPr>
              <w:t>颗粒物</w:t>
            </w:r>
          </w:p>
        </w:tc>
        <w:tc>
          <w:tcPr>
            <w:tcW w:w="1724" w:type="dxa"/>
            <w:tcBorders>
              <w:tl2br w:val="nil"/>
              <w:tr2bl w:val="nil"/>
            </w:tcBorders>
            <w:vAlign w:val="bottom"/>
          </w:tcPr>
          <w:p>
            <w:pPr>
              <w:jc w:val="center"/>
              <w:rPr>
                <w:rFonts w:hint="default" w:ascii="Times New Roman" w:hAnsi="Times New Roman" w:eastAsia="仿宋_GB2312" w:cs="Times New Roman"/>
                <w:bCs/>
                <w:color w:val="auto"/>
                <w:szCs w:val="21"/>
                <w:lang w:val="en-US" w:eastAsia="zh-CN"/>
              </w:rPr>
            </w:pPr>
            <w:r>
              <w:rPr>
                <w:rFonts w:hint="eastAsia" w:ascii="Times New Roman" w:hAnsi="Times New Roman" w:eastAsia="仿宋_GB2312" w:cs="Times New Roman"/>
                <w:bCs/>
                <w:color w:val="auto"/>
                <w:szCs w:val="21"/>
                <w:lang w:val="en-US" w:eastAsia="zh-CN"/>
              </w:rPr>
              <w:t>0.299</w:t>
            </w:r>
          </w:p>
        </w:tc>
        <w:tc>
          <w:tcPr>
            <w:tcW w:w="1469" w:type="dxa"/>
            <w:tcBorders>
              <w:tl2br w:val="nil"/>
              <w:tr2bl w:val="nil"/>
            </w:tcBorders>
            <w:vAlign w:val="bottom"/>
          </w:tcPr>
          <w:p>
            <w:pPr>
              <w:jc w:val="center"/>
              <w:rPr>
                <w:rFonts w:hint="default" w:ascii="Times New Roman" w:hAnsi="Times New Roman" w:cs="Times New Roman" w:eastAsiaTheme="minorEastAsia"/>
                <w:bCs/>
                <w:color w:val="auto"/>
                <w:sz w:val="21"/>
                <w:szCs w:val="21"/>
                <w:lang w:val="en-US" w:eastAsia="zh-CN"/>
              </w:rPr>
            </w:pPr>
            <w:r>
              <w:rPr>
                <w:rFonts w:ascii="Times New Roman" w:hAnsi="Times New Roman" w:eastAsia="仿宋_GB2312"/>
                <w:color w:val="auto"/>
                <w:szCs w:val="21"/>
              </w:rPr>
              <w:t>0.</w:t>
            </w:r>
            <w:r>
              <w:rPr>
                <w:rFonts w:hint="eastAsia" w:ascii="Times New Roman" w:hAnsi="Times New Roman" w:eastAsia="仿宋_GB2312"/>
                <w:color w:val="auto"/>
                <w:szCs w:val="21"/>
              </w:rPr>
              <w:t>2</w:t>
            </w:r>
            <w:r>
              <w:rPr>
                <w:rFonts w:hint="eastAsia" w:ascii="Times New Roman" w:hAnsi="Times New Roman" w:eastAsia="仿宋_GB2312"/>
                <w:color w:val="auto"/>
                <w:szCs w:val="21"/>
                <w:lang w:val="en-US" w:eastAsia="zh-CN"/>
              </w:rPr>
              <w:t>92</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0.122</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jc w:val="center"/>
        </w:trPr>
        <w:tc>
          <w:tcPr>
            <w:tcW w:w="950" w:type="dxa"/>
            <w:vMerge w:val="continue"/>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p>
        </w:tc>
        <w:tc>
          <w:tcPr>
            <w:tcW w:w="1299" w:type="dxa"/>
            <w:tcBorders>
              <w:tl2br w:val="nil"/>
              <w:tr2bl w:val="nil"/>
            </w:tcBorders>
            <w:vAlign w:val="center"/>
          </w:tcPr>
          <w:p>
            <w:pPr>
              <w:widowControl/>
              <w:jc w:val="center"/>
              <w:rPr>
                <w:rFonts w:ascii="Times New Roman" w:hAnsi="Times New Roman" w:cs="Times New Roman"/>
                <w:bCs/>
                <w:color w:val="auto"/>
                <w:szCs w:val="21"/>
              </w:rPr>
            </w:pPr>
            <w:r>
              <w:rPr>
                <w:rFonts w:ascii="Times New Roman" w:hAnsi="Times New Roman" w:cs="Times New Roman"/>
                <w:bCs/>
                <w:color w:val="auto"/>
                <w:szCs w:val="21"/>
              </w:rPr>
              <w:t>VOCs</w:t>
            </w:r>
          </w:p>
        </w:tc>
        <w:tc>
          <w:tcPr>
            <w:tcW w:w="1724" w:type="dxa"/>
            <w:tcBorders>
              <w:tl2br w:val="nil"/>
              <w:tr2bl w:val="nil"/>
            </w:tcBorders>
            <w:vAlign w:val="center"/>
          </w:tcPr>
          <w:p>
            <w:pPr>
              <w:jc w:val="center"/>
              <w:rPr>
                <w:rFonts w:hint="default" w:ascii="Times New Roman" w:hAnsi="Times New Roman" w:cs="Times New Roman" w:eastAsiaTheme="minorEastAsia"/>
                <w:bCs/>
                <w:color w:val="auto"/>
                <w:szCs w:val="21"/>
                <w:lang w:val="en-US" w:eastAsia="zh-CN"/>
              </w:rPr>
            </w:pPr>
            <w:r>
              <w:rPr>
                <w:rFonts w:hint="eastAsia" w:ascii="Times New Roman" w:hAnsi="Times New Roman" w:cs="Times New Roman"/>
                <w:bCs/>
                <w:color w:val="auto"/>
                <w:szCs w:val="21"/>
                <w:lang w:val="en-US" w:eastAsia="zh-CN"/>
              </w:rPr>
              <w:t>1.298</w:t>
            </w:r>
          </w:p>
        </w:tc>
        <w:tc>
          <w:tcPr>
            <w:tcW w:w="1469" w:type="dxa"/>
            <w:tcBorders>
              <w:tl2br w:val="nil"/>
              <w:tr2bl w:val="nil"/>
            </w:tcBorders>
            <w:vAlign w:val="center"/>
          </w:tcPr>
          <w:p>
            <w:pPr>
              <w:jc w:val="center"/>
              <w:rPr>
                <w:rFonts w:hint="eastAsia" w:ascii="Times New Roman" w:hAnsi="Times New Roman" w:cs="Times New Roman" w:eastAsiaTheme="minorEastAsia"/>
                <w:bCs/>
                <w:color w:val="auto"/>
                <w:sz w:val="21"/>
                <w:szCs w:val="21"/>
                <w:lang w:val="en-US" w:eastAsia="zh-CN"/>
              </w:rPr>
            </w:pPr>
            <w:r>
              <w:rPr>
                <w:rFonts w:ascii="Times New Roman" w:hAnsi="Times New Roman" w:eastAsia="仿宋_GB2312"/>
                <w:color w:val="auto"/>
                <w:szCs w:val="21"/>
              </w:rPr>
              <w:t>1.298</w:t>
            </w:r>
          </w:p>
        </w:tc>
        <w:tc>
          <w:tcPr>
            <w:tcW w:w="1469" w:type="dxa"/>
            <w:tcBorders>
              <w:tl2br w:val="nil"/>
              <w:tr2bl w:val="nil"/>
            </w:tcBorders>
            <w:vAlign w:val="center"/>
          </w:tcPr>
          <w:p>
            <w:pPr>
              <w:pStyle w:val="9"/>
              <w:ind w:left="0"/>
              <w:jc w:val="center"/>
              <w:rPr>
                <w:rFonts w:hint="default" w:ascii="Times New Roman" w:hAnsi="Times New Roman" w:cs="Times New Roman" w:eastAsiaTheme="minorEastAsia"/>
                <w:bCs/>
                <w:color w:val="auto"/>
                <w:sz w:val="21"/>
                <w:szCs w:val="21"/>
                <w:lang w:val="en-US" w:eastAsia="zh-CN"/>
              </w:rPr>
            </w:pPr>
            <w:r>
              <w:rPr>
                <w:rFonts w:hint="eastAsia" w:ascii="Times New Roman" w:hAnsi="Times New Roman" w:cs="Times New Roman" w:eastAsiaTheme="minorEastAsia"/>
                <w:bCs/>
                <w:color w:val="auto"/>
                <w:sz w:val="21"/>
                <w:szCs w:val="21"/>
                <w:lang w:val="en-US" w:eastAsia="zh-CN"/>
              </w:rPr>
              <w:t>0.073</w:t>
            </w:r>
          </w:p>
        </w:tc>
        <w:tc>
          <w:tcPr>
            <w:tcW w:w="1621" w:type="dxa"/>
            <w:tcBorders>
              <w:tl2br w:val="nil"/>
              <w:tr2bl w:val="nil"/>
            </w:tcBorders>
            <w:vAlign w:val="top"/>
          </w:tcPr>
          <w:p>
            <w:pPr>
              <w:jc w:val="center"/>
              <w:rPr>
                <w:rFonts w:ascii="Times New Roman" w:hAnsi="Times New Roman" w:cs="Times New Roman"/>
                <w:bCs/>
                <w:color w:val="auto"/>
                <w:szCs w:val="21"/>
              </w:rPr>
            </w:pPr>
            <w:r>
              <w:rPr>
                <w:rFonts w:hint="eastAsia" w:ascii="Times New Roman" w:hAnsi="Times New Roman" w:cs="Times New Roman"/>
                <w:bCs/>
                <w:color w:val="auto"/>
                <w:szCs w:val="21"/>
                <w:lang w:val="en-US" w:eastAsia="zh-CN"/>
              </w:rPr>
              <w:t>符合</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50" w:type="dxa"/>
            <w:tcBorders>
              <w:tl2br w:val="nil"/>
              <w:tr2bl w:val="nil"/>
            </w:tcBorders>
            <w:vAlign w:val="center"/>
          </w:tcPr>
          <w:p>
            <w:pPr>
              <w:pStyle w:val="9"/>
              <w:ind w:left="0"/>
              <w:jc w:val="center"/>
              <w:rPr>
                <w:rFonts w:ascii="Times New Roman" w:hAnsi="Times New Roman" w:cs="Times New Roman" w:eastAsiaTheme="minorEastAsia"/>
                <w:bCs/>
                <w:color w:val="auto"/>
                <w:sz w:val="21"/>
                <w:szCs w:val="21"/>
              </w:rPr>
            </w:pPr>
            <w:r>
              <w:rPr>
                <w:rFonts w:hint="eastAsia" w:ascii="Times New Roman" w:hAnsi="Times New Roman" w:cs="Times New Roman" w:eastAsiaTheme="minorEastAsia"/>
                <w:bCs/>
                <w:color w:val="auto"/>
                <w:sz w:val="21"/>
                <w:szCs w:val="21"/>
              </w:rPr>
              <w:t>备注</w:t>
            </w:r>
          </w:p>
        </w:tc>
        <w:tc>
          <w:tcPr>
            <w:tcW w:w="7583" w:type="dxa"/>
            <w:gridSpan w:val="6"/>
            <w:tcBorders>
              <w:tl2br w:val="nil"/>
              <w:tr2bl w:val="nil"/>
            </w:tcBorders>
            <w:vAlign w:val="center"/>
          </w:tcPr>
          <w:p>
            <w:pPr>
              <w:rPr>
                <w:rFonts w:ascii="Times New Roman" w:hAnsi="Times New Roman" w:cs="Times New Roman"/>
                <w:color w:val="auto"/>
                <w:szCs w:val="21"/>
              </w:rPr>
            </w:pPr>
            <w:r>
              <w:rPr>
                <w:rFonts w:ascii="Times New Roman" w:hAnsi="Times New Roman" w:cs="Times New Roman"/>
                <w:color w:val="auto"/>
                <w:szCs w:val="21"/>
              </w:rPr>
              <w:t>有组织废气年排放工作时数按</w:t>
            </w:r>
            <w:r>
              <w:rPr>
                <w:rFonts w:hint="eastAsia" w:ascii="Times New Roman" w:hAnsi="Times New Roman" w:cs="Times New Roman"/>
                <w:color w:val="auto"/>
                <w:szCs w:val="21"/>
              </w:rPr>
              <w:t>2</w:t>
            </w:r>
            <w:r>
              <w:rPr>
                <w:rFonts w:hint="eastAsia" w:ascii="Times New Roman" w:hAnsi="Times New Roman" w:cs="Times New Roman"/>
                <w:color w:val="auto"/>
                <w:szCs w:val="21"/>
                <w:lang w:val="en-US" w:eastAsia="zh-CN"/>
              </w:rPr>
              <w:t>00</w:t>
            </w:r>
            <w:r>
              <w:rPr>
                <w:rFonts w:hint="eastAsia" w:ascii="Times New Roman" w:hAnsi="Times New Roman" w:cs="Times New Roman"/>
                <w:color w:val="auto"/>
                <w:szCs w:val="21"/>
              </w:rPr>
              <w:t>0</w:t>
            </w:r>
            <w:r>
              <w:rPr>
                <w:rFonts w:ascii="Times New Roman" w:hAnsi="Times New Roman" w:cs="Times New Roman"/>
                <w:color w:val="auto"/>
                <w:szCs w:val="21"/>
              </w:rPr>
              <w:t>小时计算</w:t>
            </w:r>
            <w:r>
              <w:rPr>
                <w:rFonts w:hint="eastAsia" w:ascii="Times New Roman" w:hAnsi="Times New Roman" w:cs="Times New Roman"/>
                <w:color w:val="auto"/>
                <w:szCs w:val="21"/>
              </w:rPr>
              <w:t>；</w:t>
            </w:r>
          </w:p>
          <w:p>
            <w:pPr>
              <w:pStyle w:val="9"/>
              <w:ind w:left="0"/>
              <w:rPr>
                <w:rFonts w:ascii="Times New Roman" w:hAnsi="Times New Roman" w:eastAsia="宋体" w:cs="宋体"/>
                <w:bCs/>
                <w:color w:val="auto"/>
                <w:sz w:val="21"/>
                <w:szCs w:val="21"/>
              </w:rPr>
            </w:pPr>
            <w:r>
              <w:rPr>
                <w:rFonts w:ascii="Times New Roman" w:hAnsi="Times New Roman" w:eastAsia="宋体" w:cs="Times New Roman"/>
                <w:bCs/>
                <w:color w:val="auto"/>
                <w:sz w:val="21"/>
                <w:szCs w:val="21"/>
              </w:rPr>
              <w:t>该项目废水量按</w:t>
            </w:r>
            <w:r>
              <w:rPr>
                <w:rFonts w:hint="eastAsia" w:ascii="Times New Roman" w:hAnsi="Times New Roman" w:eastAsia="宋体" w:cs="Times New Roman"/>
                <w:bCs/>
                <w:color w:val="auto"/>
                <w:sz w:val="21"/>
                <w:szCs w:val="21"/>
              </w:rPr>
              <w:t>环评估算量</w:t>
            </w:r>
            <w:r>
              <w:rPr>
                <w:rFonts w:ascii="Times New Roman" w:hAnsi="Times New Roman" w:eastAsia="宋体" w:cs="Times New Roman"/>
                <w:bCs/>
                <w:color w:val="auto"/>
                <w:sz w:val="21"/>
                <w:szCs w:val="21"/>
              </w:rPr>
              <w:t>进行总量核算</w:t>
            </w:r>
            <w:r>
              <w:rPr>
                <w:rFonts w:hint="eastAsia" w:ascii="Times New Roman" w:hAnsi="Times New Roman" w:eastAsia="宋体" w:cs="Times New Roman"/>
                <w:bCs/>
                <w:color w:val="auto"/>
                <w:sz w:val="21"/>
                <w:szCs w:val="21"/>
              </w:rPr>
              <w:t>，生活污水总量标准为污水处理厂尾水排放总量。</w:t>
            </w:r>
          </w:p>
        </w:tc>
      </w:tr>
    </w:tbl>
    <w:p/>
    <w:p>
      <w:pPr>
        <w:pStyle w:val="9"/>
        <w:spacing w:line="360" w:lineRule="auto"/>
        <w:ind w:left="0"/>
        <w:rPr>
          <w:rFonts w:ascii="Times New Roman" w:hAnsi="Times New Roman" w:eastAsia="宋体" w:cs="宋体"/>
          <w:b/>
          <w:sz w:val="24"/>
          <w:szCs w:val="24"/>
        </w:rPr>
        <w:sectPr>
          <w:pgSz w:w="11906" w:h="16838"/>
          <w:pgMar w:top="1440" w:right="1800" w:bottom="1440" w:left="1800" w:header="851" w:footer="992" w:gutter="0"/>
          <w:cols w:space="425" w:num="1"/>
          <w:docGrid w:type="lines" w:linePitch="312" w:charSpace="0"/>
        </w:sectPr>
      </w:pPr>
    </w:p>
    <w:p>
      <w:pPr>
        <w:adjustRightInd w:val="0"/>
        <w:spacing w:line="360" w:lineRule="auto"/>
        <w:outlineLvl w:val="2"/>
        <w:rPr>
          <w:rFonts w:ascii="Times New Roman" w:hAnsi="Times New Roman" w:cs="Times New Roman"/>
          <w:b/>
          <w:sz w:val="24"/>
        </w:rPr>
      </w:pPr>
      <w:bookmarkStart w:id="334" w:name="_Toc20115"/>
      <w:bookmarkStart w:id="335" w:name="_Toc21644_WPSOffice_Level1"/>
      <w:r>
        <w:rPr>
          <w:rFonts w:ascii="Times New Roman" w:hAnsi="Times New Roman" w:cs="Times New Roman"/>
          <w:b/>
          <w:sz w:val="24"/>
        </w:rPr>
        <w:t>9.2.6环保设施去除效率监测结果</w:t>
      </w:r>
      <w:bookmarkEnd w:id="334"/>
    </w:p>
    <w:p>
      <w:pPr>
        <w:pStyle w:val="9"/>
        <w:spacing w:line="360" w:lineRule="auto"/>
        <w:ind w:left="0"/>
        <w:rPr>
          <w:rFonts w:ascii="Times New Roman" w:hAnsi="Times New Roman" w:eastAsia="宋体" w:cs="宋体"/>
          <w:b/>
          <w:sz w:val="24"/>
          <w:szCs w:val="24"/>
        </w:rPr>
      </w:pPr>
      <w:r>
        <w:rPr>
          <w:rFonts w:hint="eastAsia" w:ascii="Times New Roman" w:hAnsi="Times New Roman" w:eastAsia="宋体" w:cs="宋体"/>
          <w:b/>
          <w:sz w:val="24"/>
          <w:szCs w:val="24"/>
        </w:rPr>
        <w:t>本项目的环保设施去除效率见表9-9。</w:t>
      </w:r>
      <w:bookmarkEnd w:id="335"/>
    </w:p>
    <w:p>
      <w:pPr>
        <w:pStyle w:val="7"/>
        <w:bidi w:val="0"/>
      </w:pPr>
      <w:r>
        <w:t>表</w:t>
      </w:r>
      <w:r>
        <w:rPr>
          <w:rFonts w:hint="eastAsia"/>
          <w:lang w:eastAsia="zh-CN"/>
        </w:rPr>
        <w:t>9-9</w:t>
      </w:r>
      <w:r>
        <w:rPr>
          <w:rFonts w:hint="eastAsia"/>
          <w:lang w:val="en-US" w:eastAsia="zh-CN"/>
        </w:rPr>
        <w:t xml:space="preserve">  </w:t>
      </w:r>
      <w:r>
        <w:rPr>
          <w:rFonts w:hint="eastAsia"/>
          <w:lang w:eastAsia="zh-CN"/>
        </w:rPr>
        <w:t>废水治理设施处理效率</w:t>
      </w:r>
    </w:p>
    <w:tbl>
      <w:tblPr>
        <w:tblStyle w:val="23"/>
        <w:tblpPr w:leftFromText="180" w:rightFromText="180" w:vertAnchor="text" w:horzAnchor="page" w:tblpXSpec="center" w:tblpY="49"/>
        <w:tblOverlap w:val="never"/>
        <w:tblW w:w="9924" w:type="dxa"/>
        <w:jc w:val="center"/>
        <w:tblInd w:w="-442"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48"/>
        <w:gridCol w:w="1442"/>
        <w:gridCol w:w="982"/>
        <w:gridCol w:w="927"/>
        <w:gridCol w:w="887"/>
        <w:gridCol w:w="968"/>
        <w:gridCol w:w="900"/>
        <w:gridCol w:w="927"/>
        <w:gridCol w:w="914"/>
        <w:gridCol w:w="929"/>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2" w:hRule="atLeast"/>
          <w:jc w:val="center"/>
        </w:trPr>
        <w:tc>
          <w:tcPr>
            <w:tcW w:w="1048" w:type="dxa"/>
            <w:vMerge w:val="restart"/>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b/>
                <w:bCs/>
                <w:color w:val="auto"/>
                <w:szCs w:val="21"/>
              </w:rPr>
              <w:t>项目</w:t>
            </w:r>
          </w:p>
        </w:tc>
        <w:tc>
          <w:tcPr>
            <w:tcW w:w="1442" w:type="dxa"/>
            <w:vMerge w:val="restart"/>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监测</w:t>
            </w:r>
          </w:p>
          <w:p>
            <w:pPr>
              <w:jc w:val="center"/>
              <w:rPr>
                <w:rFonts w:ascii="Times New Roman" w:hAnsi="Times New Roman" w:cs="Times New Roman"/>
                <w:b/>
                <w:bCs/>
                <w:color w:val="auto"/>
                <w:szCs w:val="21"/>
              </w:rPr>
            </w:pPr>
            <w:r>
              <w:rPr>
                <w:rFonts w:ascii="Times New Roman" w:hAnsi="Times New Roman" w:cs="Times New Roman"/>
                <w:b/>
                <w:bCs/>
                <w:color w:val="auto"/>
                <w:szCs w:val="21"/>
              </w:rPr>
              <w:t>位置</w:t>
            </w:r>
          </w:p>
        </w:tc>
        <w:tc>
          <w:tcPr>
            <w:tcW w:w="7434" w:type="dxa"/>
            <w:gridSpan w:val="8"/>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监测浓度（单位：mg/L）</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6" w:hRule="atLeast"/>
          <w:jc w:val="center"/>
        </w:trPr>
        <w:tc>
          <w:tcPr>
            <w:tcW w:w="1048" w:type="dxa"/>
            <w:vMerge w:val="continue"/>
            <w:tcBorders>
              <w:tl2br w:val="nil"/>
              <w:tr2bl w:val="nil"/>
            </w:tcBorders>
            <w:vAlign w:val="center"/>
          </w:tcPr>
          <w:p>
            <w:pPr>
              <w:jc w:val="center"/>
              <w:rPr>
                <w:rFonts w:ascii="Times New Roman" w:hAnsi="Times New Roman" w:cs="Times New Roman"/>
                <w:color w:val="auto"/>
                <w:szCs w:val="21"/>
              </w:rPr>
            </w:pPr>
          </w:p>
        </w:tc>
        <w:tc>
          <w:tcPr>
            <w:tcW w:w="1442" w:type="dxa"/>
            <w:vMerge w:val="continue"/>
            <w:tcBorders>
              <w:tl2br w:val="nil"/>
              <w:tr2bl w:val="nil"/>
            </w:tcBorders>
            <w:vAlign w:val="center"/>
          </w:tcPr>
          <w:p>
            <w:pPr>
              <w:jc w:val="center"/>
              <w:rPr>
                <w:rFonts w:ascii="Times New Roman" w:hAnsi="Times New Roman" w:cs="Times New Roman"/>
                <w:b/>
                <w:bCs/>
                <w:color w:val="auto"/>
                <w:szCs w:val="21"/>
              </w:rPr>
            </w:pPr>
          </w:p>
        </w:tc>
        <w:tc>
          <w:tcPr>
            <w:tcW w:w="982"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第1次</w:t>
            </w:r>
          </w:p>
        </w:tc>
        <w:tc>
          <w:tcPr>
            <w:tcW w:w="927"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第2次</w:t>
            </w:r>
          </w:p>
        </w:tc>
        <w:tc>
          <w:tcPr>
            <w:tcW w:w="887"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第3次</w:t>
            </w:r>
          </w:p>
        </w:tc>
        <w:tc>
          <w:tcPr>
            <w:tcW w:w="968"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第4次</w:t>
            </w:r>
          </w:p>
        </w:tc>
        <w:tc>
          <w:tcPr>
            <w:tcW w:w="900"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第5次</w:t>
            </w:r>
          </w:p>
        </w:tc>
        <w:tc>
          <w:tcPr>
            <w:tcW w:w="927"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第6次</w:t>
            </w:r>
          </w:p>
        </w:tc>
        <w:tc>
          <w:tcPr>
            <w:tcW w:w="914"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第7次</w:t>
            </w:r>
          </w:p>
        </w:tc>
        <w:tc>
          <w:tcPr>
            <w:tcW w:w="929"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第8次</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restart"/>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color w:val="auto"/>
                <w:szCs w:val="21"/>
              </w:rPr>
              <w:t>化学需氧量</w:t>
            </w:r>
          </w:p>
        </w:tc>
        <w:tc>
          <w:tcPr>
            <w:tcW w:w="1442" w:type="dxa"/>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color w:val="auto"/>
                <w:szCs w:val="21"/>
              </w:rPr>
              <w:t>污水处理站进口（W1）</w:t>
            </w:r>
          </w:p>
        </w:tc>
        <w:tc>
          <w:tcPr>
            <w:tcW w:w="982" w:type="dxa"/>
            <w:tcBorders>
              <w:tl2br w:val="nil"/>
              <w:tr2bl w:val="nil"/>
            </w:tcBorders>
            <w:vAlign w:val="center"/>
          </w:tcPr>
          <w:p>
            <w:pPr>
              <w:wordWrap w:val="0"/>
              <w:adjustRightInd w:val="0"/>
              <w:jc w:val="center"/>
              <w:textAlignment w:val="baseline"/>
              <w:rPr>
                <w:rFonts w:ascii="Times New Roman" w:hAnsi="Times New Roman" w:cs="Times New Roman"/>
                <w:color w:val="auto"/>
                <w:szCs w:val="21"/>
              </w:rPr>
            </w:pPr>
            <w:r>
              <w:rPr>
                <w:rFonts w:ascii="Times New Roman" w:hAnsi="Times New Roman" w:cs="Times New Roman"/>
                <w:color w:val="auto"/>
                <w:szCs w:val="21"/>
              </w:rPr>
              <w:t>437</w:t>
            </w:r>
          </w:p>
        </w:tc>
        <w:tc>
          <w:tcPr>
            <w:tcW w:w="927" w:type="dxa"/>
            <w:tcBorders>
              <w:tl2br w:val="nil"/>
              <w:tr2bl w:val="nil"/>
            </w:tcBorders>
            <w:vAlign w:val="center"/>
          </w:tcPr>
          <w:p>
            <w:pPr>
              <w:wordWrap w:val="0"/>
              <w:adjustRightInd w:val="0"/>
              <w:jc w:val="center"/>
              <w:textAlignment w:val="baseline"/>
              <w:rPr>
                <w:rFonts w:ascii="Times New Roman" w:hAnsi="Times New Roman" w:cs="Times New Roman"/>
                <w:color w:val="auto"/>
                <w:szCs w:val="21"/>
              </w:rPr>
            </w:pPr>
            <w:r>
              <w:rPr>
                <w:rFonts w:ascii="Times New Roman" w:hAnsi="Times New Roman" w:cs="Times New Roman"/>
                <w:color w:val="auto"/>
                <w:szCs w:val="21"/>
              </w:rPr>
              <w:t>455</w:t>
            </w:r>
          </w:p>
        </w:tc>
        <w:tc>
          <w:tcPr>
            <w:tcW w:w="887"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473</w:t>
            </w:r>
          </w:p>
        </w:tc>
        <w:tc>
          <w:tcPr>
            <w:tcW w:w="968"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464</w:t>
            </w:r>
          </w:p>
        </w:tc>
        <w:tc>
          <w:tcPr>
            <w:tcW w:w="900"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419</w:t>
            </w:r>
          </w:p>
        </w:tc>
        <w:tc>
          <w:tcPr>
            <w:tcW w:w="927"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433</w:t>
            </w:r>
          </w:p>
        </w:tc>
        <w:tc>
          <w:tcPr>
            <w:tcW w:w="914"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460</w:t>
            </w:r>
          </w:p>
        </w:tc>
        <w:tc>
          <w:tcPr>
            <w:tcW w:w="929"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446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continue"/>
            <w:tcBorders>
              <w:tl2br w:val="nil"/>
              <w:tr2bl w:val="nil"/>
            </w:tcBorders>
            <w:vAlign w:val="center"/>
          </w:tcPr>
          <w:p>
            <w:pPr>
              <w:jc w:val="center"/>
              <w:rPr>
                <w:rFonts w:ascii="Times New Roman" w:hAnsi="Times New Roman" w:cs="Times New Roman"/>
                <w:color w:val="auto"/>
                <w:szCs w:val="21"/>
              </w:rPr>
            </w:pPr>
          </w:p>
        </w:tc>
        <w:tc>
          <w:tcPr>
            <w:tcW w:w="1442" w:type="dxa"/>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color w:val="auto"/>
                <w:szCs w:val="21"/>
              </w:rPr>
              <w:t>污水处理站出口（W2）</w:t>
            </w:r>
          </w:p>
        </w:tc>
        <w:tc>
          <w:tcPr>
            <w:tcW w:w="982"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44</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45</w:t>
            </w:r>
          </w:p>
        </w:tc>
        <w:tc>
          <w:tcPr>
            <w:tcW w:w="88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47</w:t>
            </w:r>
          </w:p>
        </w:tc>
        <w:tc>
          <w:tcPr>
            <w:tcW w:w="968"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42</w:t>
            </w:r>
          </w:p>
        </w:tc>
        <w:tc>
          <w:tcPr>
            <w:tcW w:w="900"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41</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44</w:t>
            </w:r>
          </w:p>
        </w:tc>
        <w:tc>
          <w:tcPr>
            <w:tcW w:w="914"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46</w:t>
            </w:r>
          </w:p>
        </w:tc>
        <w:tc>
          <w:tcPr>
            <w:tcW w:w="929"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42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continue"/>
            <w:tcBorders>
              <w:tl2br w:val="nil"/>
              <w:tr2bl w:val="nil"/>
            </w:tcBorders>
            <w:vAlign w:val="center"/>
          </w:tcPr>
          <w:p>
            <w:pPr>
              <w:jc w:val="center"/>
              <w:rPr>
                <w:rFonts w:ascii="Times New Roman" w:hAnsi="Times New Roman" w:cs="Times New Roman"/>
                <w:color w:val="auto"/>
                <w:szCs w:val="21"/>
              </w:rPr>
            </w:pPr>
          </w:p>
        </w:tc>
        <w:tc>
          <w:tcPr>
            <w:tcW w:w="1442" w:type="dxa"/>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b/>
                <w:bCs/>
                <w:color w:val="auto"/>
                <w:szCs w:val="21"/>
              </w:rPr>
              <w:t>处理效率</w:t>
            </w:r>
          </w:p>
        </w:tc>
        <w:tc>
          <w:tcPr>
            <w:tcW w:w="982"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89.9</w:t>
            </w:r>
          </w:p>
        </w:tc>
        <w:tc>
          <w:tcPr>
            <w:tcW w:w="92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90.1</w:t>
            </w:r>
          </w:p>
        </w:tc>
        <w:tc>
          <w:tcPr>
            <w:tcW w:w="88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90.1</w:t>
            </w:r>
          </w:p>
        </w:tc>
        <w:tc>
          <w:tcPr>
            <w:tcW w:w="968"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90.9</w:t>
            </w:r>
          </w:p>
        </w:tc>
        <w:tc>
          <w:tcPr>
            <w:tcW w:w="900"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90.2</w:t>
            </w:r>
          </w:p>
        </w:tc>
        <w:tc>
          <w:tcPr>
            <w:tcW w:w="92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89.8</w:t>
            </w:r>
          </w:p>
        </w:tc>
        <w:tc>
          <w:tcPr>
            <w:tcW w:w="914"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90.0</w:t>
            </w:r>
          </w:p>
        </w:tc>
        <w:tc>
          <w:tcPr>
            <w:tcW w:w="929"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90.6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restart"/>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color w:val="auto"/>
                <w:szCs w:val="21"/>
              </w:rPr>
              <w:t>悬浮物</w:t>
            </w:r>
          </w:p>
        </w:tc>
        <w:tc>
          <w:tcPr>
            <w:tcW w:w="1442"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color w:val="auto"/>
                <w:szCs w:val="21"/>
              </w:rPr>
              <w:t>污水处理站进口（W1）</w:t>
            </w:r>
          </w:p>
        </w:tc>
        <w:tc>
          <w:tcPr>
            <w:tcW w:w="982" w:type="dxa"/>
            <w:tcBorders>
              <w:tl2br w:val="nil"/>
              <w:tr2bl w:val="nil"/>
            </w:tcBorders>
            <w:vAlign w:val="center"/>
          </w:tcPr>
          <w:p>
            <w:pPr>
              <w:wordWrap w:val="0"/>
              <w:adjustRightInd w:val="0"/>
              <w:jc w:val="center"/>
              <w:textAlignment w:val="baseline"/>
              <w:rPr>
                <w:rFonts w:ascii="Times New Roman" w:hAnsi="Times New Roman" w:cs="Times New Roman"/>
                <w:color w:val="auto"/>
                <w:szCs w:val="21"/>
              </w:rPr>
            </w:pPr>
            <w:r>
              <w:rPr>
                <w:rFonts w:ascii="Times New Roman" w:hAnsi="Times New Roman" w:cs="Times New Roman"/>
                <w:color w:val="auto"/>
                <w:szCs w:val="21"/>
              </w:rPr>
              <w:t>178</w:t>
            </w:r>
          </w:p>
        </w:tc>
        <w:tc>
          <w:tcPr>
            <w:tcW w:w="927" w:type="dxa"/>
            <w:tcBorders>
              <w:tl2br w:val="nil"/>
              <w:tr2bl w:val="nil"/>
            </w:tcBorders>
            <w:vAlign w:val="center"/>
          </w:tcPr>
          <w:p>
            <w:pPr>
              <w:wordWrap w:val="0"/>
              <w:adjustRightInd w:val="0"/>
              <w:jc w:val="center"/>
              <w:textAlignment w:val="baseline"/>
              <w:rPr>
                <w:rFonts w:ascii="Times New Roman" w:hAnsi="Times New Roman" w:cs="Times New Roman"/>
                <w:color w:val="auto"/>
                <w:szCs w:val="21"/>
              </w:rPr>
            </w:pPr>
            <w:r>
              <w:rPr>
                <w:rFonts w:ascii="Times New Roman" w:hAnsi="Times New Roman" w:cs="Times New Roman"/>
                <w:color w:val="auto"/>
                <w:szCs w:val="21"/>
              </w:rPr>
              <w:t>183</w:t>
            </w:r>
          </w:p>
        </w:tc>
        <w:tc>
          <w:tcPr>
            <w:tcW w:w="887"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172</w:t>
            </w:r>
          </w:p>
        </w:tc>
        <w:tc>
          <w:tcPr>
            <w:tcW w:w="968"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168</w:t>
            </w:r>
          </w:p>
        </w:tc>
        <w:tc>
          <w:tcPr>
            <w:tcW w:w="900"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175</w:t>
            </w:r>
          </w:p>
        </w:tc>
        <w:tc>
          <w:tcPr>
            <w:tcW w:w="927"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179</w:t>
            </w:r>
          </w:p>
        </w:tc>
        <w:tc>
          <w:tcPr>
            <w:tcW w:w="914"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166</w:t>
            </w:r>
          </w:p>
        </w:tc>
        <w:tc>
          <w:tcPr>
            <w:tcW w:w="929" w:type="dxa"/>
            <w:tcBorders>
              <w:tl2br w:val="nil"/>
              <w:tr2bl w:val="nil"/>
            </w:tcBorders>
            <w:vAlign w:val="center"/>
          </w:tcPr>
          <w:p>
            <w:pPr>
              <w:wordWrap w:val="0"/>
              <w:adjustRightInd w:val="0"/>
              <w:jc w:val="center"/>
              <w:textAlignment w:val="baseline"/>
              <w:rPr>
                <w:rFonts w:ascii="Times New Roman" w:hAnsi="Times New Roman" w:cs="Times New Roman"/>
                <w:color w:val="auto"/>
                <w:kern w:val="0"/>
                <w:szCs w:val="21"/>
              </w:rPr>
            </w:pPr>
            <w:r>
              <w:rPr>
                <w:rFonts w:ascii="Times New Roman" w:hAnsi="Times New Roman" w:cs="Times New Roman"/>
                <w:color w:val="auto"/>
                <w:szCs w:val="21"/>
              </w:rPr>
              <w:t>171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continue"/>
            <w:tcBorders>
              <w:tl2br w:val="nil"/>
              <w:tr2bl w:val="nil"/>
            </w:tcBorders>
            <w:vAlign w:val="center"/>
          </w:tcPr>
          <w:p>
            <w:pPr>
              <w:jc w:val="center"/>
              <w:rPr>
                <w:rFonts w:ascii="Times New Roman" w:hAnsi="Times New Roman" w:cs="Times New Roman"/>
                <w:color w:val="auto"/>
                <w:szCs w:val="21"/>
              </w:rPr>
            </w:pPr>
          </w:p>
        </w:tc>
        <w:tc>
          <w:tcPr>
            <w:tcW w:w="1442"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color w:val="auto"/>
                <w:szCs w:val="21"/>
              </w:rPr>
              <w:t>污水处理站出口（W2）</w:t>
            </w:r>
          </w:p>
        </w:tc>
        <w:tc>
          <w:tcPr>
            <w:tcW w:w="982"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21</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24</w:t>
            </w:r>
          </w:p>
        </w:tc>
        <w:tc>
          <w:tcPr>
            <w:tcW w:w="88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28</w:t>
            </w:r>
          </w:p>
        </w:tc>
        <w:tc>
          <w:tcPr>
            <w:tcW w:w="968"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25</w:t>
            </w:r>
          </w:p>
        </w:tc>
        <w:tc>
          <w:tcPr>
            <w:tcW w:w="900"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23</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27</w:t>
            </w:r>
          </w:p>
        </w:tc>
        <w:tc>
          <w:tcPr>
            <w:tcW w:w="914"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28</w:t>
            </w:r>
          </w:p>
        </w:tc>
        <w:tc>
          <w:tcPr>
            <w:tcW w:w="929"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continue"/>
            <w:tcBorders>
              <w:tl2br w:val="nil"/>
              <w:tr2bl w:val="nil"/>
            </w:tcBorders>
            <w:vAlign w:val="center"/>
          </w:tcPr>
          <w:p>
            <w:pPr>
              <w:jc w:val="center"/>
              <w:rPr>
                <w:rFonts w:ascii="Times New Roman" w:hAnsi="Times New Roman" w:cs="Times New Roman"/>
                <w:color w:val="auto"/>
                <w:szCs w:val="21"/>
              </w:rPr>
            </w:pPr>
          </w:p>
        </w:tc>
        <w:tc>
          <w:tcPr>
            <w:tcW w:w="1442"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处理效率</w:t>
            </w:r>
          </w:p>
        </w:tc>
        <w:tc>
          <w:tcPr>
            <w:tcW w:w="982"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88.2</w:t>
            </w:r>
          </w:p>
        </w:tc>
        <w:tc>
          <w:tcPr>
            <w:tcW w:w="92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rPr>
              <w:t>8</w:t>
            </w:r>
            <w:r>
              <w:rPr>
                <w:rFonts w:hint="eastAsia" w:ascii="Times New Roman" w:hAnsi="Times New Roman" w:cs="Times New Roman"/>
                <w:color w:val="auto"/>
                <w:szCs w:val="21"/>
                <w:lang w:val="en-US" w:eastAsia="zh-CN"/>
              </w:rPr>
              <w:t>6.9</w:t>
            </w:r>
          </w:p>
        </w:tc>
        <w:tc>
          <w:tcPr>
            <w:tcW w:w="887" w:type="dxa"/>
            <w:tcBorders>
              <w:tl2br w:val="nil"/>
              <w:tr2bl w:val="nil"/>
            </w:tcBorders>
            <w:vAlign w:val="center"/>
          </w:tcPr>
          <w:p>
            <w:pPr>
              <w:widowControl/>
              <w:jc w:val="center"/>
              <w:textAlignment w:val="center"/>
              <w:rPr>
                <w:rFonts w:hint="default" w:ascii="Times New Roman" w:hAnsi="Times New Roman" w:cs="Times New Roman" w:eastAsiaTheme="minorEastAsia"/>
                <w:color w:val="FF0000"/>
                <w:kern w:val="0"/>
                <w:szCs w:val="21"/>
                <w:lang w:val="en-US" w:eastAsia="zh-CN"/>
              </w:rPr>
            </w:pPr>
            <w:r>
              <w:rPr>
                <w:rFonts w:hint="eastAsia" w:ascii="Times New Roman" w:hAnsi="Times New Roman" w:cs="Times New Roman"/>
                <w:color w:val="auto"/>
                <w:kern w:val="0"/>
                <w:szCs w:val="21"/>
                <w:lang w:val="en-US" w:eastAsia="zh-CN"/>
              </w:rPr>
              <w:t>83.7</w:t>
            </w:r>
          </w:p>
        </w:tc>
        <w:tc>
          <w:tcPr>
            <w:tcW w:w="968" w:type="dxa"/>
            <w:tcBorders>
              <w:tl2br w:val="nil"/>
              <w:tr2bl w:val="nil"/>
            </w:tcBorders>
            <w:vAlign w:val="center"/>
          </w:tcPr>
          <w:p>
            <w:pPr>
              <w:widowControl/>
              <w:jc w:val="center"/>
              <w:textAlignment w:val="center"/>
              <w:rPr>
                <w:rFonts w:hint="default" w:ascii="Times New Roman" w:hAnsi="Times New Roman" w:cs="Times New Roman" w:eastAsiaTheme="minorEastAsia"/>
                <w:color w:val="FF0000"/>
                <w:kern w:val="0"/>
                <w:szCs w:val="21"/>
                <w:lang w:val="en-US" w:eastAsia="zh-CN"/>
              </w:rPr>
            </w:pPr>
            <w:r>
              <w:rPr>
                <w:rFonts w:hint="eastAsia" w:ascii="Times New Roman" w:hAnsi="Times New Roman" w:cs="Times New Roman"/>
                <w:color w:val="auto"/>
                <w:kern w:val="0"/>
                <w:szCs w:val="21"/>
                <w:lang w:val="en-US" w:eastAsia="zh-CN"/>
              </w:rPr>
              <w:t>85.1</w:t>
            </w:r>
          </w:p>
        </w:tc>
        <w:tc>
          <w:tcPr>
            <w:tcW w:w="900"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86.9</w:t>
            </w:r>
          </w:p>
        </w:tc>
        <w:tc>
          <w:tcPr>
            <w:tcW w:w="92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84.9</w:t>
            </w:r>
          </w:p>
        </w:tc>
        <w:tc>
          <w:tcPr>
            <w:tcW w:w="914" w:type="dxa"/>
            <w:tcBorders>
              <w:tl2br w:val="nil"/>
              <w:tr2bl w:val="nil"/>
            </w:tcBorders>
            <w:vAlign w:val="center"/>
          </w:tcPr>
          <w:p>
            <w:pPr>
              <w:widowControl/>
              <w:jc w:val="center"/>
              <w:textAlignment w:val="center"/>
              <w:rPr>
                <w:rFonts w:hint="default" w:ascii="Times New Roman" w:hAnsi="Times New Roman" w:cs="Times New Roman" w:eastAsiaTheme="minorEastAsia"/>
                <w:color w:val="FF0000"/>
                <w:kern w:val="0"/>
                <w:szCs w:val="21"/>
                <w:lang w:val="en-US" w:eastAsia="zh-CN"/>
              </w:rPr>
            </w:pPr>
            <w:r>
              <w:rPr>
                <w:rFonts w:hint="eastAsia" w:ascii="Times New Roman" w:hAnsi="Times New Roman" w:cs="Times New Roman"/>
                <w:color w:val="auto"/>
                <w:kern w:val="0"/>
                <w:szCs w:val="21"/>
                <w:lang w:val="en-US" w:eastAsia="zh-CN"/>
              </w:rPr>
              <w:t>83.1</w:t>
            </w:r>
          </w:p>
        </w:tc>
        <w:tc>
          <w:tcPr>
            <w:tcW w:w="929" w:type="dxa"/>
            <w:tcBorders>
              <w:tl2br w:val="nil"/>
              <w:tr2bl w:val="nil"/>
            </w:tcBorders>
            <w:vAlign w:val="center"/>
          </w:tcPr>
          <w:p>
            <w:pPr>
              <w:widowControl/>
              <w:jc w:val="center"/>
              <w:textAlignment w:val="center"/>
              <w:rPr>
                <w:rFonts w:hint="default" w:ascii="Times New Roman" w:hAnsi="Times New Roman" w:cs="Times New Roman" w:eastAsiaTheme="minorEastAsia"/>
                <w:color w:val="FF0000"/>
                <w:kern w:val="0"/>
                <w:szCs w:val="21"/>
                <w:lang w:val="en-US" w:eastAsia="zh-CN"/>
              </w:rPr>
            </w:pPr>
            <w:r>
              <w:rPr>
                <w:rFonts w:hint="eastAsia" w:ascii="Times New Roman" w:hAnsi="Times New Roman" w:cs="Times New Roman"/>
                <w:color w:val="auto"/>
                <w:kern w:val="0"/>
                <w:szCs w:val="21"/>
                <w:lang w:val="en-US" w:eastAsia="zh-CN"/>
              </w:rPr>
              <w:t>87.1</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restart"/>
            <w:tcBorders>
              <w:tl2br w:val="nil"/>
              <w:tr2bl w:val="nil"/>
            </w:tcBorders>
            <w:vAlign w:val="center"/>
          </w:tcPr>
          <w:p>
            <w:pPr>
              <w:jc w:val="center"/>
              <w:rPr>
                <w:rFonts w:ascii="Times New Roman" w:hAnsi="Times New Roman" w:cs="Times New Roman"/>
                <w:color w:val="FF0000"/>
                <w:szCs w:val="21"/>
              </w:rPr>
            </w:pPr>
            <w:r>
              <w:rPr>
                <w:rFonts w:ascii="Times New Roman" w:hAnsi="Times New Roman" w:cs="Times New Roman"/>
                <w:color w:val="auto"/>
                <w:szCs w:val="21"/>
              </w:rPr>
              <w:t>石油类</w:t>
            </w:r>
          </w:p>
        </w:tc>
        <w:tc>
          <w:tcPr>
            <w:tcW w:w="1442" w:type="dxa"/>
            <w:tcBorders>
              <w:tl2br w:val="nil"/>
              <w:tr2bl w:val="nil"/>
            </w:tcBorders>
            <w:vAlign w:val="center"/>
          </w:tcPr>
          <w:p>
            <w:pPr>
              <w:jc w:val="center"/>
              <w:rPr>
                <w:rFonts w:ascii="Times New Roman" w:hAnsi="Times New Roman" w:cs="Times New Roman"/>
                <w:b/>
                <w:bCs/>
                <w:color w:val="FF0000"/>
                <w:szCs w:val="21"/>
              </w:rPr>
            </w:pPr>
            <w:r>
              <w:rPr>
                <w:rFonts w:ascii="Times New Roman" w:hAnsi="Times New Roman" w:cs="Times New Roman"/>
                <w:color w:val="auto"/>
                <w:szCs w:val="21"/>
              </w:rPr>
              <w:t>污水处理站进口（W1）</w:t>
            </w:r>
          </w:p>
        </w:tc>
        <w:tc>
          <w:tcPr>
            <w:tcW w:w="982"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3.03</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3.00</w:t>
            </w:r>
          </w:p>
        </w:tc>
        <w:tc>
          <w:tcPr>
            <w:tcW w:w="88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2.95</w:t>
            </w:r>
          </w:p>
        </w:tc>
        <w:tc>
          <w:tcPr>
            <w:tcW w:w="968"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2.91</w:t>
            </w:r>
          </w:p>
        </w:tc>
        <w:tc>
          <w:tcPr>
            <w:tcW w:w="900"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2.91</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2.84</w:t>
            </w:r>
          </w:p>
        </w:tc>
        <w:tc>
          <w:tcPr>
            <w:tcW w:w="914"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2.99</w:t>
            </w:r>
          </w:p>
        </w:tc>
        <w:tc>
          <w:tcPr>
            <w:tcW w:w="929"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2.84</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continue"/>
            <w:tcBorders>
              <w:tl2br w:val="nil"/>
              <w:tr2bl w:val="nil"/>
            </w:tcBorders>
            <w:vAlign w:val="center"/>
          </w:tcPr>
          <w:p>
            <w:pPr>
              <w:jc w:val="center"/>
              <w:rPr>
                <w:rFonts w:ascii="Times New Roman" w:hAnsi="Times New Roman" w:cs="Times New Roman"/>
                <w:color w:val="FF0000"/>
                <w:szCs w:val="21"/>
              </w:rPr>
            </w:pPr>
          </w:p>
        </w:tc>
        <w:tc>
          <w:tcPr>
            <w:tcW w:w="1442"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color w:val="auto"/>
                <w:szCs w:val="21"/>
              </w:rPr>
              <w:t>污水处理站出口（W2）</w:t>
            </w:r>
          </w:p>
        </w:tc>
        <w:tc>
          <w:tcPr>
            <w:tcW w:w="982"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0.41</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0.40</w:t>
            </w:r>
          </w:p>
        </w:tc>
        <w:tc>
          <w:tcPr>
            <w:tcW w:w="88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0.42</w:t>
            </w:r>
          </w:p>
        </w:tc>
        <w:tc>
          <w:tcPr>
            <w:tcW w:w="968"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0.48</w:t>
            </w:r>
          </w:p>
        </w:tc>
        <w:tc>
          <w:tcPr>
            <w:tcW w:w="900"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0.49</w:t>
            </w:r>
          </w:p>
        </w:tc>
        <w:tc>
          <w:tcPr>
            <w:tcW w:w="927"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0.52</w:t>
            </w:r>
          </w:p>
        </w:tc>
        <w:tc>
          <w:tcPr>
            <w:tcW w:w="914"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0.53</w:t>
            </w:r>
          </w:p>
        </w:tc>
        <w:tc>
          <w:tcPr>
            <w:tcW w:w="929" w:type="dxa"/>
            <w:tcBorders>
              <w:tl2br w:val="nil"/>
              <w:tr2bl w:val="nil"/>
            </w:tcBorders>
            <w:vAlign w:val="center"/>
          </w:tcPr>
          <w:p>
            <w:pPr>
              <w:wordWrap w:val="0"/>
              <w:adjustRightInd w:val="0"/>
              <w:jc w:val="center"/>
              <w:textAlignment w:val="baseline"/>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szCs w:val="21"/>
                <w:lang w:val="en-US" w:eastAsia="zh-CN"/>
              </w:rPr>
              <w:t>0.56</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8" w:type="dxa"/>
            <w:vMerge w:val="continue"/>
            <w:tcBorders>
              <w:tl2br w:val="nil"/>
              <w:tr2bl w:val="nil"/>
            </w:tcBorders>
            <w:vAlign w:val="center"/>
          </w:tcPr>
          <w:p>
            <w:pPr>
              <w:jc w:val="center"/>
              <w:rPr>
                <w:rFonts w:ascii="Times New Roman" w:hAnsi="Times New Roman" w:cs="Times New Roman"/>
                <w:color w:val="FF0000"/>
                <w:szCs w:val="21"/>
              </w:rPr>
            </w:pPr>
          </w:p>
        </w:tc>
        <w:tc>
          <w:tcPr>
            <w:tcW w:w="1442" w:type="dxa"/>
            <w:tcBorders>
              <w:tl2br w:val="nil"/>
              <w:tr2bl w:val="nil"/>
            </w:tcBorders>
            <w:vAlign w:val="center"/>
          </w:tcPr>
          <w:p>
            <w:pPr>
              <w:jc w:val="center"/>
              <w:rPr>
                <w:rFonts w:ascii="Times New Roman" w:hAnsi="Times New Roman" w:cs="Times New Roman"/>
                <w:b/>
                <w:bCs/>
                <w:color w:val="auto"/>
                <w:szCs w:val="21"/>
              </w:rPr>
            </w:pPr>
            <w:r>
              <w:rPr>
                <w:rFonts w:ascii="Times New Roman" w:hAnsi="Times New Roman" w:cs="Times New Roman"/>
                <w:b/>
                <w:bCs/>
                <w:color w:val="auto"/>
                <w:szCs w:val="21"/>
              </w:rPr>
              <w:t>处理效率</w:t>
            </w:r>
          </w:p>
        </w:tc>
        <w:tc>
          <w:tcPr>
            <w:tcW w:w="982"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szCs w:val="21"/>
                <w:lang w:val="en-US" w:eastAsia="zh-CN"/>
              </w:rPr>
            </w:pPr>
            <w:r>
              <w:rPr>
                <w:rFonts w:hint="eastAsia" w:ascii="Times New Roman" w:hAnsi="Times New Roman" w:cs="Times New Roman"/>
                <w:color w:val="auto"/>
                <w:szCs w:val="21"/>
                <w:lang w:val="en-US" w:eastAsia="zh-CN"/>
              </w:rPr>
              <w:t>86.5</w:t>
            </w:r>
          </w:p>
        </w:tc>
        <w:tc>
          <w:tcPr>
            <w:tcW w:w="927" w:type="dxa"/>
            <w:tcBorders>
              <w:tl2br w:val="nil"/>
              <w:tr2bl w:val="nil"/>
            </w:tcBorders>
            <w:vAlign w:val="center"/>
          </w:tcPr>
          <w:p>
            <w:pPr>
              <w:widowControl/>
              <w:jc w:val="center"/>
              <w:textAlignment w:val="center"/>
              <w:rPr>
                <w:rFonts w:ascii="Times New Roman" w:hAnsi="Times New Roman" w:cs="Times New Roman"/>
                <w:color w:val="auto"/>
                <w:szCs w:val="21"/>
              </w:rPr>
            </w:pPr>
            <w:r>
              <w:rPr>
                <w:rFonts w:hint="eastAsia" w:ascii="Times New Roman" w:hAnsi="Times New Roman" w:cs="Times New Roman"/>
                <w:color w:val="auto"/>
                <w:szCs w:val="21"/>
                <w:lang w:val="en-US" w:eastAsia="zh-CN"/>
              </w:rPr>
              <w:t>8</w:t>
            </w:r>
            <w:r>
              <w:rPr>
                <w:rFonts w:hint="eastAsia" w:ascii="Times New Roman" w:hAnsi="Times New Roman" w:cs="Times New Roman"/>
                <w:color w:val="auto"/>
                <w:szCs w:val="21"/>
              </w:rPr>
              <w:t>6.7</w:t>
            </w:r>
          </w:p>
        </w:tc>
        <w:tc>
          <w:tcPr>
            <w:tcW w:w="88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85.8</w:t>
            </w:r>
          </w:p>
        </w:tc>
        <w:tc>
          <w:tcPr>
            <w:tcW w:w="968"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83.5</w:t>
            </w:r>
          </w:p>
        </w:tc>
        <w:tc>
          <w:tcPr>
            <w:tcW w:w="900"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83.2</w:t>
            </w:r>
          </w:p>
        </w:tc>
        <w:tc>
          <w:tcPr>
            <w:tcW w:w="927"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81.7</w:t>
            </w:r>
          </w:p>
        </w:tc>
        <w:tc>
          <w:tcPr>
            <w:tcW w:w="914"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82.3</w:t>
            </w:r>
          </w:p>
        </w:tc>
        <w:tc>
          <w:tcPr>
            <w:tcW w:w="929" w:type="dxa"/>
            <w:tcBorders>
              <w:tl2br w:val="nil"/>
              <w:tr2bl w:val="nil"/>
            </w:tcBorders>
            <w:vAlign w:val="center"/>
          </w:tcPr>
          <w:p>
            <w:pPr>
              <w:widowControl/>
              <w:jc w:val="center"/>
              <w:textAlignment w:val="center"/>
              <w:rPr>
                <w:rFonts w:hint="default" w:ascii="Times New Roman" w:hAnsi="Times New Roman" w:cs="Times New Roman" w:eastAsiaTheme="minorEastAsia"/>
                <w:color w:val="auto"/>
                <w:kern w:val="0"/>
                <w:szCs w:val="21"/>
                <w:lang w:val="en-US" w:eastAsia="zh-CN"/>
              </w:rPr>
            </w:pPr>
            <w:r>
              <w:rPr>
                <w:rFonts w:hint="eastAsia" w:ascii="Times New Roman" w:hAnsi="Times New Roman" w:cs="Times New Roman"/>
                <w:color w:val="auto"/>
                <w:kern w:val="0"/>
                <w:szCs w:val="21"/>
                <w:lang w:val="en-US" w:eastAsia="zh-CN"/>
              </w:rPr>
              <w:t>80.3</w:t>
            </w:r>
          </w:p>
        </w:tc>
      </w:tr>
    </w:tbl>
    <w:p>
      <w:pPr>
        <w:pStyle w:val="9"/>
        <w:spacing w:line="360" w:lineRule="auto"/>
        <w:ind w:left="0"/>
        <w:rPr>
          <w:rFonts w:ascii="Times New Roman" w:hAnsi="Times New Roman" w:eastAsia="宋体" w:cs="宋体"/>
          <w:bCs/>
          <w:sz w:val="24"/>
          <w:szCs w:val="24"/>
        </w:rPr>
        <w:sectPr>
          <w:pgSz w:w="11906" w:h="16838"/>
          <w:pgMar w:top="1440" w:right="1800" w:bottom="1440" w:left="1800" w:header="851" w:footer="992" w:gutter="0"/>
          <w:cols w:space="425" w:num="1"/>
          <w:docGrid w:type="lines" w:linePitch="312" w:charSpace="0"/>
        </w:sectPr>
      </w:pPr>
    </w:p>
    <w:p>
      <w:pPr>
        <w:keepNext/>
        <w:outlineLvl w:val="0"/>
        <w:rPr>
          <w:rFonts w:ascii="Times New Roman" w:hAnsi="Times New Roman" w:cs="Times New Roman"/>
          <w:b/>
          <w:sz w:val="28"/>
          <w:szCs w:val="28"/>
        </w:rPr>
      </w:pPr>
      <w:bookmarkStart w:id="336" w:name="_Toc8823"/>
      <w:bookmarkStart w:id="337" w:name="_Toc842"/>
      <w:bookmarkStart w:id="338" w:name="_Toc23668"/>
      <w:bookmarkStart w:id="339" w:name="_Toc31994"/>
      <w:bookmarkStart w:id="340" w:name="_Toc3820"/>
      <w:r>
        <w:rPr>
          <w:rFonts w:ascii="Times New Roman" w:hAnsi="Times New Roman" w:cs="Times New Roman"/>
          <w:b/>
          <w:sz w:val="28"/>
          <w:szCs w:val="28"/>
        </w:rPr>
        <w:t>10</w:t>
      </w:r>
      <w:r>
        <w:rPr>
          <w:rFonts w:hint="eastAsia" w:ascii="Times New Roman" w:hAnsi="Times New Roman" w:cs="Times New Roman"/>
          <w:b/>
          <w:sz w:val="28"/>
          <w:szCs w:val="28"/>
        </w:rPr>
        <w:t>.</w:t>
      </w:r>
      <w:r>
        <w:rPr>
          <w:rFonts w:ascii="Times New Roman" w:hAnsi="Times New Roman" w:cs="Times New Roman"/>
          <w:b/>
          <w:sz w:val="28"/>
          <w:szCs w:val="28"/>
        </w:rPr>
        <w:t>环境管理检查</w:t>
      </w:r>
      <w:bookmarkEnd w:id="336"/>
      <w:bookmarkEnd w:id="337"/>
      <w:bookmarkEnd w:id="338"/>
      <w:bookmarkEnd w:id="339"/>
      <w:bookmarkEnd w:id="340"/>
      <w:bookmarkStart w:id="341" w:name="_Toc339"/>
      <w:bookmarkStart w:id="342" w:name="_Toc16421"/>
      <w:bookmarkStart w:id="343" w:name="_Toc503356559"/>
      <w:bookmarkStart w:id="344" w:name="_Toc10994"/>
      <w:bookmarkStart w:id="345" w:name="_Toc3558"/>
      <w:bookmarkStart w:id="346" w:name="_Toc12000"/>
      <w:bookmarkStart w:id="347" w:name="_Toc3815"/>
      <w:bookmarkStart w:id="348" w:name="_Toc19556"/>
      <w:bookmarkStart w:id="349" w:name="_Toc20399"/>
      <w:bookmarkStart w:id="350" w:name="_Toc29168"/>
      <w:bookmarkStart w:id="351" w:name="_Toc11970"/>
    </w:p>
    <w:p>
      <w:pPr>
        <w:pStyle w:val="4"/>
        <w:adjustRightInd w:val="0"/>
        <w:spacing w:line="360" w:lineRule="auto"/>
        <w:textAlignment w:val="baseline"/>
        <w:rPr>
          <w:rFonts w:ascii="Times New Roman" w:hAnsi="Times New Roman" w:cs="Times New Roman"/>
          <w:sz w:val="24"/>
          <w:szCs w:val="24"/>
        </w:rPr>
      </w:pPr>
      <w:bookmarkStart w:id="352" w:name="_Toc4400"/>
      <w:r>
        <w:rPr>
          <w:rFonts w:ascii="Times New Roman" w:hAnsi="Times New Roman" w:cs="Times New Roman"/>
          <w:sz w:val="24"/>
          <w:szCs w:val="24"/>
        </w:rPr>
        <w:t>10.1环境管理检查</w:t>
      </w:r>
      <w:bookmarkEnd w:id="341"/>
      <w:bookmarkEnd w:id="342"/>
      <w:bookmarkEnd w:id="343"/>
      <w:bookmarkEnd w:id="344"/>
      <w:bookmarkEnd w:id="345"/>
      <w:bookmarkEnd w:id="346"/>
      <w:bookmarkEnd w:id="347"/>
      <w:bookmarkEnd w:id="348"/>
      <w:bookmarkEnd w:id="349"/>
      <w:bookmarkEnd w:id="350"/>
      <w:bookmarkEnd w:id="351"/>
      <w:bookmarkEnd w:id="352"/>
    </w:p>
    <w:p>
      <w:pPr>
        <w:pStyle w:val="7"/>
        <w:bidi w:val="0"/>
      </w:pPr>
      <w:r>
        <w:t>表</w:t>
      </w:r>
      <w:r>
        <w:rPr>
          <w:rFonts w:hint="eastAsia"/>
          <w:lang w:eastAsia="zh-CN"/>
        </w:rPr>
        <w:t xml:space="preserve">10-1 </w:t>
      </w:r>
      <w:r>
        <w:rPr>
          <w:rFonts w:hint="eastAsia"/>
          <w:lang w:val="en-US" w:eastAsia="zh-CN"/>
        </w:rPr>
        <w:t xml:space="preserve"> </w:t>
      </w:r>
      <w:r>
        <w:rPr>
          <w:rFonts w:hint="eastAsia"/>
          <w:lang w:eastAsia="zh-CN"/>
        </w:rPr>
        <w:t>环境管理检查表</w:t>
      </w:r>
    </w:p>
    <w:tbl>
      <w:tblPr>
        <w:tblStyle w:val="23"/>
        <w:tblW w:w="9310"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18"/>
        <w:gridCol w:w="2542"/>
        <w:gridCol w:w="6050"/>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02" w:hRule="atLeast"/>
          <w:jc w:val="center"/>
        </w:trPr>
        <w:tc>
          <w:tcPr>
            <w:tcW w:w="718" w:type="dxa"/>
            <w:tcBorders>
              <w:tl2br w:val="nil"/>
              <w:tr2bl w:val="nil"/>
            </w:tcBorders>
            <w:vAlign w:val="center"/>
          </w:tcPr>
          <w:p>
            <w:pPr>
              <w:widowControl/>
              <w:jc w:val="center"/>
              <w:rPr>
                <w:rFonts w:ascii="Times New Roman" w:hAnsi="Times New Roman" w:cs="Times New Roman"/>
                <w:b/>
                <w:color w:val="000000"/>
                <w:szCs w:val="21"/>
              </w:rPr>
            </w:pPr>
            <w:r>
              <w:rPr>
                <w:rFonts w:ascii="Times New Roman" w:hAnsi="Times New Roman" w:cs="Times New Roman"/>
                <w:b/>
                <w:color w:val="000000"/>
                <w:szCs w:val="21"/>
              </w:rPr>
              <w:t>序号</w:t>
            </w:r>
          </w:p>
        </w:tc>
        <w:tc>
          <w:tcPr>
            <w:tcW w:w="2542" w:type="dxa"/>
            <w:tcBorders>
              <w:tl2br w:val="nil"/>
              <w:tr2bl w:val="nil"/>
            </w:tcBorders>
            <w:vAlign w:val="center"/>
          </w:tcPr>
          <w:p>
            <w:pPr>
              <w:widowControl/>
              <w:jc w:val="center"/>
              <w:rPr>
                <w:rFonts w:ascii="Times New Roman" w:hAnsi="Times New Roman" w:cs="Times New Roman"/>
                <w:b/>
                <w:color w:val="000000"/>
                <w:szCs w:val="21"/>
              </w:rPr>
            </w:pPr>
            <w:r>
              <w:rPr>
                <w:rFonts w:ascii="Times New Roman" w:hAnsi="Times New Roman" w:cs="Times New Roman"/>
                <w:b/>
                <w:color w:val="000000"/>
                <w:szCs w:val="21"/>
              </w:rPr>
              <w:t>检查内容</w:t>
            </w:r>
          </w:p>
        </w:tc>
        <w:tc>
          <w:tcPr>
            <w:tcW w:w="6050" w:type="dxa"/>
            <w:tcBorders>
              <w:tl2br w:val="nil"/>
              <w:tr2bl w:val="nil"/>
            </w:tcBorders>
            <w:vAlign w:val="center"/>
          </w:tcPr>
          <w:p>
            <w:pPr>
              <w:widowControl/>
              <w:jc w:val="center"/>
              <w:rPr>
                <w:rFonts w:ascii="Times New Roman" w:hAnsi="Times New Roman" w:cs="Times New Roman"/>
                <w:b/>
                <w:szCs w:val="21"/>
              </w:rPr>
            </w:pPr>
            <w:r>
              <w:rPr>
                <w:rFonts w:ascii="Times New Roman" w:hAnsi="Times New Roman" w:cs="Times New Roman"/>
                <w:b/>
                <w:szCs w:val="21"/>
              </w:rPr>
              <w:t>执行情况</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77"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kern w:val="2"/>
                <w:sz w:val="21"/>
                <w:szCs w:val="21"/>
              </w:rPr>
              <w:t>1</w:t>
            </w:r>
          </w:p>
        </w:tc>
        <w:tc>
          <w:tcPr>
            <w:tcW w:w="2542" w:type="dxa"/>
            <w:tcBorders>
              <w:tl2br w:val="nil"/>
              <w:tr2bl w:val="nil"/>
            </w:tcBorders>
            <w:vAlign w:val="center"/>
          </w:tcPr>
          <w:p>
            <w:pPr>
              <w:widowControl/>
              <w:jc w:val="center"/>
              <w:rPr>
                <w:rFonts w:ascii="Times New Roman" w:hAnsi="Times New Roman" w:cs="Times New Roman"/>
                <w:color w:val="000000"/>
                <w:szCs w:val="21"/>
              </w:rPr>
            </w:pPr>
            <w:r>
              <w:rPr>
                <w:rFonts w:ascii="Times New Roman" w:hAnsi="Times New Roman" w:cs="Times New Roman"/>
                <w:color w:val="000000"/>
                <w:szCs w:val="21"/>
              </w:rPr>
              <w:t>“三同时”执行情况</w:t>
            </w:r>
          </w:p>
        </w:tc>
        <w:tc>
          <w:tcPr>
            <w:tcW w:w="605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该公司已执行国家环境保护的相关法律和规定，环保设施与主体工程同时设计、同时施工、同时投入使用。</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32"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kern w:val="2"/>
                <w:sz w:val="21"/>
                <w:szCs w:val="21"/>
              </w:rPr>
            </w:pPr>
            <w:r>
              <w:rPr>
                <w:rFonts w:ascii="Times New Roman" w:hAnsi="Times New Roman" w:cs="Times New Roman"/>
                <w:color w:val="000000"/>
                <w:kern w:val="2"/>
                <w:sz w:val="21"/>
                <w:szCs w:val="21"/>
              </w:rPr>
              <w:t>2</w:t>
            </w:r>
          </w:p>
        </w:tc>
        <w:tc>
          <w:tcPr>
            <w:tcW w:w="2542" w:type="dxa"/>
            <w:tcBorders>
              <w:tl2br w:val="nil"/>
              <w:tr2bl w:val="nil"/>
            </w:tcBorders>
            <w:vAlign w:val="center"/>
          </w:tcPr>
          <w:p>
            <w:pPr>
              <w:widowControl/>
              <w:jc w:val="center"/>
              <w:rPr>
                <w:rFonts w:ascii="Times New Roman" w:hAnsi="Times New Roman" w:cs="Times New Roman"/>
                <w:color w:val="000000"/>
                <w:szCs w:val="21"/>
              </w:rPr>
            </w:pPr>
            <w:r>
              <w:rPr>
                <w:rFonts w:ascii="Times New Roman" w:hAnsi="Times New Roman" w:cs="Times New Roman"/>
                <w:color w:val="000000"/>
                <w:szCs w:val="21"/>
              </w:rPr>
              <w:t>环境保护审批手续及环境保护档案资料</w:t>
            </w:r>
          </w:p>
        </w:tc>
        <w:tc>
          <w:tcPr>
            <w:tcW w:w="6050" w:type="dxa"/>
            <w:tcBorders>
              <w:tl2br w:val="nil"/>
              <w:tr2bl w:val="nil"/>
            </w:tcBorders>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建设项目环评报告及批复等环境保护审批手续齐全。</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27"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kern w:val="2"/>
                <w:sz w:val="21"/>
                <w:szCs w:val="21"/>
              </w:rPr>
              <w:t>3</w:t>
            </w:r>
          </w:p>
        </w:tc>
        <w:tc>
          <w:tcPr>
            <w:tcW w:w="2542" w:type="dxa"/>
            <w:tcBorders>
              <w:tl2br w:val="nil"/>
              <w:tr2bl w:val="nil"/>
            </w:tcBorders>
            <w:vAlign w:val="center"/>
          </w:tcPr>
          <w:p>
            <w:pPr>
              <w:widowControl/>
              <w:jc w:val="center"/>
              <w:rPr>
                <w:rFonts w:ascii="Times New Roman" w:hAnsi="Times New Roman" w:cs="Times New Roman"/>
                <w:color w:val="000000"/>
                <w:szCs w:val="21"/>
              </w:rPr>
            </w:pPr>
            <w:r>
              <w:rPr>
                <w:rFonts w:ascii="Times New Roman" w:hAnsi="Times New Roman" w:cs="Times New Roman"/>
                <w:color w:val="000000"/>
                <w:szCs w:val="21"/>
              </w:rPr>
              <w:t>公司环境管理体系、制度、机构建设情况</w:t>
            </w:r>
          </w:p>
        </w:tc>
        <w:tc>
          <w:tcPr>
            <w:tcW w:w="6050"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制定相关管理制度，有专门负责环境安全人员。</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79"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kern w:val="2"/>
                <w:sz w:val="21"/>
                <w:szCs w:val="21"/>
              </w:rPr>
              <w:t>4</w:t>
            </w:r>
          </w:p>
        </w:tc>
        <w:tc>
          <w:tcPr>
            <w:tcW w:w="2542"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污染处理设施建设、管理及运行情况</w:t>
            </w:r>
          </w:p>
        </w:tc>
        <w:tc>
          <w:tcPr>
            <w:tcW w:w="6050"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已建设废水、废气处理设施，正常运营。</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76"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FF0000"/>
                <w:kern w:val="2"/>
                <w:sz w:val="21"/>
                <w:szCs w:val="21"/>
              </w:rPr>
            </w:pPr>
            <w:r>
              <w:rPr>
                <w:rFonts w:ascii="Times New Roman" w:hAnsi="Times New Roman" w:cs="Times New Roman"/>
                <w:color w:val="FF0000"/>
                <w:kern w:val="2"/>
                <w:sz w:val="21"/>
                <w:szCs w:val="21"/>
              </w:rPr>
              <w:t>5</w:t>
            </w:r>
          </w:p>
        </w:tc>
        <w:tc>
          <w:tcPr>
            <w:tcW w:w="2542" w:type="dxa"/>
            <w:tcBorders>
              <w:tl2br w:val="nil"/>
              <w:tr2bl w:val="nil"/>
            </w:tcBorders>
            <w:vAlign w:val="center"/>
          </w:tcPr>
          <w:p>
            <w:pPr>
              <w:widowControl/>
              <w:jc w:val="center"/>
              <w:rPr>
                <w:rFonts w:ascii="Times New Roman" w:hAnsi="Times New Roman" w:cs="Times New Roman"/>
                <w:color w:val="FF0000"/>
                <w:szCs w:val="21"/>
              </w:rPr>
            </w:pPr>
            <w:r>
              <w:rPr>
                <w:rFonts w:ascii="Times New Roman" w:hAnsi="Times New Roman" w:cs="Times New Roman"/>
                <w:szCs w:val="21"/>
              </w:rPr>
              <w:t>环境保护监测计划，包括检测机构设置、人员配置、监测计划和仪器设备</w:t>
            </w:r>
          </w:p>
        </w:tc>
        <w:tc>
          <w:tcPr>
            <w:tcW w:w="6050" w:type="dxa"/>
            <w:tcBorders>
              <w:tl2br w:val="nil"/>
              <w:tr2bl w:val="nil"/>
            </w:tcBorders>
            <w:vAlign w:val="center"/>
          </w:tcPr>
          <w:p>
            <w:pPr>
              <w:widowControl/>
              <w:jc w:val="center"/>
              <w:rPr>
                <w:rFonts w:ascii="Times New Roman" w:hAnsi="Times New Roman" w:cs="Times New Roman"/>
                <w:color w:val="FF0000"/>
                <w:szCs w:val="21"/>
              </w:rPr>
            </w:pPr>
            <w:r>
              <w:rPr>
                <w:rFonts w:hint="eastAsia" w:ascii="Times New Roman" w:hAnsi="Times New Roman" w:cs="Times New Roman"/>
                <w:szCs w:val="21"/>
              </w:rPr>
              <w:t>日常监测委托有资质单位监测</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290"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kern w:val="2"/>
                <w:sz w:val="21"/>
                <w:szCs w:val="21"/>
              </w:rPr>
              <w:t>6</w:t>
            </w:r>
          </w:p>
        </w:tc>
        <w:tc>
          <w:tcPr>
            <w:tcW w:w="2542"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排污口整治情况</w:t>
            </w:r>
          </w:p>
        </w:tc>
        <w:tc>
          <w:tcPr>
            <w:tcW w:w="6050"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废水排放口：排污口标志已落实；</w:t>
            </w:r>
          </w:p>
          <w:p>
            <w:pPr>
              <w:widowControl/>
              <w:jc w:val="center"/>
              <w:rPr>
                <w:rFonts w:ascii="Times New Roman" w:hAnsi="Times New Roman" w:cs="Times New Roman"/>
                <w:szCs w:val="21"/>
              </w:rPr>
            </w:pPr>
            <w:r>
              <w:rPr>
                <w:rFonts w:ascii="Times New Roman" w:hAnsi="Times New Roman" w:cs="Times New Roman"/>
                <w:szCs w:val="21"/>
              </w:rPr>
              <w:t>废气排放口：排污口标志已落实；</w:t>
            </w:r>
          </w:p>
          <w:p>
            <w:pPr>
              <w:widowControl/>
              <w:jc w:val="center"/>
              <w:rPr>
                <w:rFonts w:ascii="Times New Roman" w:hAnsi="Times New Roman" w:cs="Times New Roman"/>
                <w:szCs w:val="21"/>
              </w:rPr>
            </w:pPr>
            <w:r>
              <w:rPr>
                <w:rFonts w:ascii="Times New Roman" w:hAnsi="Times New Roman" w:cs="Times New Roman"/>
                <w:szCs w:val="21"/>
              </w:rPr>
              <w:t>固废贮存场所：危险固废设置专用贮存、堆放场地，固体废物贮存场所设置醒目的环境保护图形标志牌。</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11"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sz w:val="21"/>
                <w:szCs w:val="21"/>
              </w:rPr>
              <w:t>7</w:t>
            </w:r>
          </w:p>
        </w:tc>
        <w:tc>
          <w:tcPr>
            <w:tcW w:w="2542"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绿化情况</w:t>
            </w:r>
          </w:p>
        </w:tc>
        <w:tc>
          <w:tcPr>
            <w:tcW w:w="6050" w:type="dxa"/>
            <w:tcBorders>
              <w:tl2br w:val="nil"/>
              <w:tr2bl w:val="nil"/>
            </w:tcBorders>
            <w:vAlign w:val="center"/>
          </w:tcPr>
          <w:p>
            <w:pPr>
              <w:widowControl/>
              <w:jc w:val="center"/>
              <w:rPr>
                <w:rFonts w:ascii="Times New Roman" w:hAnsi="Times New Roman" w:cs="Times New Roman"/>
                <w:szCs w:val="21"/>
              </w:rPr>
            </w:pPr>
            <w:r>
              <w:rPr>
                <w:rFonts w:hint="eastAsia" w:ascii="Times New Roman" w:hAnsi="Times New Roman" w:cs="Times New Roman"/>
                <w:szCs w:val="21"/>
              </w:rPr>
              <w:t>新增绿化面积200m</w:t>
            </w:r>
            <w:r>
              <w:rPr>
                <w:rFonts w:hint="eastAsia" w:ascii="Times New Roman" w:hAnsi="Times New Roman" w:cs="Times New Roman"/>
                <w:szCs w:val="21"/>
                <w:vertAlign w:val="superscript"/>
              </w:rPr>
              <w:t>2</w:t>
            </w:r>
            <w:r>
              <w:rPr>
                <w:rFonts w:ascii="Times New Roman" w:hAnsi="Times New Roman"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31"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sz w:val="21"/>
                <w:szCs w:val="21"/>
              </w:rPr>
              <w:t>8</w:t>
            </w:r>
          </w:p>
        </w:tc>
        <w:tc>
          <w:tcPr>
            <w:tcW w:w="2542"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事故风险的环保应急计划</w:t>
            </w:r>
          </w:p>
        </w:tc>
        <w:tc>
          <w:tcPr>
            <w:tcW w:w="6050" w:type="dxa"/>
            <w:tcBorders>
              <w:tl2br w:val="nil"/>
              <w:tr2bl w:val="nil"/>
            </w:tcBorders>
            <w:vAlign w:val="center"/>
          </w:tcPr>
          <w:p>
            <w:pPr>
              <w:pStyle w:val="8"/>
              <w:jc w:val="center"/>
              <w:rPr>
                <w:rFonts w:ascii="Times New Roman" w:hAnsi="Times New Roman" w:cs="Times New Roman"/>
                <w:szCs w:val="21"/>
              </w:rPr>
            </w:pPr>
            <w:r>
              <w:rPr>
                <w:rFonts w:ascii="Times New Roman" w:hAnsi="Times New Roman" w:cs="Times New Roman"/>
                <w:color w:val="000000" w:themeColor="text1"/>
                <w:szCs w:val="21"/>
                <w14:textFill>
                  <w14:solidFill>
                    <w14:schemeClr w14:val="tx1"/>
                  </w14:solidFill>
                </w14:textFill>
              </w:rPr>
              <w:t>建设单位已完成应急预案及备案（备案号：</w:t>
            </w:r>
            <w:r>
              <w:rPr>
                <w:rFonts w:hint="eastAsia" w:ascii="Times New Roman" w:hAnsi="Times New Roman" w:cs="Times New Roman"/>
                <w:color w:val="000000" w:themeColor="text1"/>
                <w:szCs w:val="21"/>
                <w14:textFill>
                  <w14:solidFill>
                    <w14:schemeClr w14:val="tx1"/>
                  </w14:solidFill>
                </w14:textFill>
              </w:rPr>
              <w:t>321181-2018-021-L</w:t>
            </w:r>
            <w:r>
              <w:rPr>
                <w:rFonts w:ascii="Times New Roman" w:hAnsi="Times New Roman" w:cs="Times New Roman"/>
                <w:color w:val="000000" w:themeColor="text1"/>
                <w:szCs w:val="21"/>
                <w14:textFill>
                  <w14:solidFill>
                    <w14:schemeClr w14:val="tx1"/>
                  </w14:solidFill>
                </w14:textFill>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13" w:hRule="atLeast"/>
          <w:jc w:val="center"/>
        </w:trPr>
        <w:tc>
          <w:tcPr>
            <w:tcW w:w="718" w:type="dxa"/>
            <w:tcBorders>
              <w:tl2br w:val="nil"/>
              <w:tr2bl w:val="nil"/>
            </w:tcBorders>
            <w:vAlign w:val="center"/>
          </w:tcPr>
          <w:p>
            <w:pPr>
              <w:pStyle w:val="21"/>
              <w:adjustRightInd w:val="0"/>
              <w:snapToGrid w:val="0"/>
              <w:spacing w:beforeAutospacing="0" w:afterAutospacing="0" w:line="360" w:lineRule="auto"/>
              <w:jc w:val="center"/>
              <w:rPr>
                <w:rFonts w:ascii="Times New Roman" w:hAnsi="Times New Roman" w:cs="Times New Roman"/>
                <w:color w:val="000000"/>
                <w:sz w:val="21"/>
                <w:szCs w:val="21"/>
              </w:rPr>
            </w:pPr>
            <w:r>
              <w:rPr>
                <w:rFonts w:ascii="Times New Roman" w:hAnsi="Times New Roman" w:cs="Times New Roman"/>
                <w:color w:val="000000"/>
                <w:sz w:val="21"/>
                <w:szCs w:val="21"/>
              </w:rPr>
              <w:t>9</w:t>
            </w:r>
          </w:p>
        </w:tc>
        <w:tc>
          <w:tcPr>
            <w:tcW w:w="2542"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建设期间和试生产阶段是否发生了扰民和污染事故</w:t>
            </w:r>
          </w:p>
        </w:tc>
        <w:tc>
          <w:tcPr>
            <w:tcW w:w="6050" w:type="dxa"/>
            <w:tcBorders>
              <w:tl2br w:val="nil"/>
              <w:tr2bl w:val="nil"/>
            </w:tcBorders>
            <w:vAlign w:val="center"/>
          </w:tcPr>
          <w:p>
            <w:pPr>
              <w:widowControl/>
              <w:jc w:val="center"/>
              <w:rPr>
                <w:rFonts w:ascii="Times New Roman" w:hAnsi="Times New Roman" w:cs="Times New Roman"/>
                <w:szCs w:val="21"/>
              </w:rPr>
            </w:pPr>
            <w:r>
              <w:rPr>
                <w:rFonts w:ascii="Times New Roman" w:hAnsi="Times New Roman" w:cs="Times New Roman"/>
                <w:szCs w:val="21"/>
              </w:rPr>
              <w:t>无。</w:t>
            </w:r>
          </w:p>
        </w:tc>
      </w:tr>
    </w:tbl>
    <w:p/>
    <w:p>
      <w:pPr>
        <w:pStyle w:val="6"/>
        <w:ind w:firstLine="0"/>
        <w:jc w:val="center"/>
        <w:rPr>
          <w:b/>
          <w:bCs/>
          <w:sz w:val="24"/>
          <w:szCs w:val="24"/>
        </w:rPr>
      </w:pPr>
      <w:bookmarkStart w:id="353" w:name="_Toc1568_WPSOffice_Level2"/>
    </w:p>
    <w:p>
      <w:pPr>
        <w:pStyle w:val="6"/>
        <w:ind w:firstLine="0"/>
        <w:jc w:val="center"/>
        <w:rPr>
          <w:b/>
          <w:bCs/>
          <w:sz w:val="24"/>
          <w:szCs w:val="24"/>
        </w:rPr>
      </w:pPr>
    </w:p>
    <w:p>
      <w:pPr>
        <w:pStyle w:val="6"/>
        <w:ind w:firstLine="0"/>
        <w:jc w:val="center"/>
        <w:rPr>
          <w:b/>
          <w:bCs/>
          <w:sz w:val="24"/>
          <w:szCs w:val="24"/>
        </w:rPr>
      </w:pPr>
    </w:p>
    <w:p>
      <w:pPr>
        <w:pStyle w:val="6"/>
        <w:ind w:firstLine="0"/>
        <w:jc w:val="center"/>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rPr>
          <w:b/>
          <w:bCs/>
          <w:sz w:val="24"/>
          <w:szCs w:val="24"/>
        </w:rPr>
      </w:pPr>
    </w:p>
    <w:p>
      <w:pPr>
        <w:pStyle w:val="6"/>
        <w:ind w:firstLine="0"/>
        <w:outlineLvl w:val="1"/>
        <w:rPr>
          <w:b/>
          <w:bCs/>
          <w:sz w:val="24"/>
          <w:szCs w:val="24"/>
        </w:rPr>
      </w:pPr>
      <w:bookmarkStart w:id="354" w:name="_Toc5059"/>
      <w:r>
        <w:rPr>
          <w:rFonts w:hint="eastAsia"/>
          <w:b/>
          <w:bCs/>
          <w:sz w:val="24"/>
          <w:szCs w:val="24"/>
        </w:rPr>
        <w:t>10.2 批复执行情况</w:t>
      </w:r>
      <w:bookmarkEnd w:id="354"/>
    </w:p>
    <w:p>
      <w:pPr>
        <w:pStyle w:val="7"/>
        <w:ind w:firstLine="0"/>
        <w:jc w:val="center"/>
        <w:rPr>
          <w:b/>
          <w:bCs/>
        </w:rPr>
      </w:pPr>
      <w:r>
        <w:t>表</w:t>
      </w:r>
      <w:r>
        <w:rPr>
          <w:rFonts w:hint="eastAsia"/>
          <w:lang w:eastAsia="zh-CN"/>
        </w:rPr>
        <w:t xml:space="preserve">10-2 </w:t>
      </w:r>
      <w:r>
        <w:rPr>
          <w:rFonts w:hint="eastAsia"/>
          <w:lang w:val="en-US" w:eastAsia="zh-CN"/>
        </w:rPr>
        <w:t xml:space="preserve"> </w:t>
      </w:r>
      <w:r>
        <w:rPr>
          <w:rFonts w:hint="eastAsia"/>
          <w:lang w:eastAsia="zh-CN"/>
        </w:rPr>
        <w:t>审批意见落实情况一览表</w:t>
      </w:r>
      <w:bookmarkEnd w:id="353"/>
    </w:p>
    <w:tbl>
      <w:tblPr>
        <w:tblStyle w:val="24"/>
        <w:tblW w:w="8522" w:type="dxa"/>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6" w:hRule="atLeast"/>
        </w:trPr>
        <w:tc>
          <w:tcPr>
            <w:tcW w:w="4261" w:type="dxa"/>
            <w:tcBorders>
              <w:tl2br w:val="nil"/>
              <w:tr2bl w:val="nil"/>
            </w:tcBorders>
            <w:vAlign w:val="center"/>
          </w:tcPr>
          <w:p>
            <w:pPr>
              <w:pStyle w:val="6"/>
              <w:ind w:firstLine="0"/>
              <w:jc w:val="center"/>
              <w:rPr>
                <w:b/>
                <w:bCs/>
              </w:rPr>
            </w:pPr>
            <w:r>
              <w:rPr>
                <w:rFonts w:hint="eastAsia"/>
                <w:b/>
                <w:bCs/>
              </w:rPr>
              <w:t>环评批复要求</w:t>
            </w:r>
          </w:p>
        </w:tc>
        <w:tc>
          <w:tcPr>
            <w:tcW w:w="4261" w:type="dxa"/>
            <w:tcBorders>
              <w:tl2br w:val="nil"/>
              <w:tr2bl w:val="nil"/>
            </w:tcBorders>
          </w:tcPr>
          <w:p>
            <w:pPr>
              <w:pStyle w:val="6"/>
              <w:ind w:firstLine="0"/>
              <w:jc w:val="center"/>
              <w:rPr>
                <w:b/>
                <w:bCs/>
              </w:rPr>
            </w:pPr>
            <w:r>
              <w:rPr>
                <w:rFonts w:hint="eastAsia"/>
                <w:b/>
                <w:bCs/>
              </w:rPr>
              <w:t>批复落实情况</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31" w:hRule="atLeast"/>
        </w:trPr>
        <w:tc>
          <w:tcPr>
            <w:tcW w:w="4261" w:type="dxa"/>
            <w:tcBorders>
              <w:tl2br w:val="nil"/>
              <w:tr2bl w:val="nil"/>
            </w:tcBorders>
            <w:vAlign w:val="center"/>
          </w:tcPr>
          <w:p>
            <w:pPr>
              <w:pStyle w:val="6"/>
              <w:ind w:left="0" w:leftChars="0" w:firstLine="0" w:firstLineChars="0"/>
              <w:jc w:val="both"/>
            </w:pPr>
            <w:r>
              <w:rPr>
                <w:rFonts w:cs="Times New Roman"/>
              </w:rPr>
              <w:t>按照“雨污分流、请污分流”的原则，建设本项目厂区给排水管网。生产废水经预处理达到接管标准后入江苏美乐集团公司污水处理站深度处理达《电镀污染物排放标准》（GB21900-2008）表3标准及《城镇污水处理厂污染物排放标准》（GB18918-2002）一级A标准相应要求后，通过江苏美乐集团公司废水总排口排入永丰河。生活污水经化粪池预处理后接入司徒污水处理厂。</w:t>
            </w:r>
          </w:p>
        </w:tc>
        <w:tc>
          <w:tcPr>
            <w:tcW w:w="4261" w:type="dxa"/>
            <w:tcBorders>
              <w:tl2br w:val="nil"/>
              <w:tr2bl w:val="nil"/>
            </w:tcBorders>
            <w:vAlign w:val="center"/>
          </w:tcPr>
          <w:p>
            <w:pPr>
              <w:pStyle w:val="6"/>
              <w:ind w:firstLine="0"/>
              <w:jc w:val="both"/>
              <w:rPr>
                <w:b/>
                <w:bCs/>
              </w:rPr>
            </w:pPr>
            <w:r>
              <w:rPr>
                <w:rFonts w:cs="Times New Roman"/>
              </w:rPr>
              <w:t>生产废水经预处理达到接管标准后入江苏美乐集团公司污水处理站深度处理达《电镀污染物排放标准》（GB21900-2008）表3标准及《城镇污水处理厂污染物排放标准》（GB18918-2002）一级A标准相应要求后，通过江苏美乐集团公司废水总排口排入永丰河。生活污水经化粪池预处理后接入司徒污水处理厂。</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42" w:hRule="atLeast"/>
        </w:trPr>
        <w:tc>
          <w:tcPr>
            <w:tcW w:w="4261" w:type="dxa"/>
            <w:tcBorders>
              <w:tl2br w:val="nil"/>
              <w:tr2bl w:val="nil"/>
            </w:tcBorders>
            <w:vAlign w:val="center"/>
          </w:tcPr>
          <w:p>
            <w:pPr>
              <w:pStyle w:val="6"/>
              <w:ind w:left="0" w:leftChars="0" w:firstLine="0" w:firstLineChars="0"/>
              <w:jc w:val="both"/>
            </w:pPr>
            <w:r>
              <w:rPr>
                <w:rFonts w:cs="Times New Roman"/>
              </w:rPr>
              <w:t>严格落实《报告书》提出的各项废气处理措施，确保长期稳定达标排放，并符合总量控制要求。优化生产工艺废气处理和排气筒设置方案，各工段废气排放源点都必须建设有相应有效的废气吸收处理设施，处理达标后经相应排气筒高空排放，排气筒高度符合规范要求。必须使用清洁能源，并采取有效措施严格控制生产过程中无组织废气的排放，确保厂界监控浓度达标。</w:t>
            </w:r>
          </w:p>
        </w:tc>
        <w:tc>
          <w:tcPr>
            <w:tcW w:w="4261" w:type="dxa"/>
            <w:tcBorders>
              <w:tl2br w:val="nil"/>
              <w:tr2bl w:val="nil"/>
            </w:tcBorders>
            <w:vAlign w:val="center"/>
          </w:tcPr>
          <w:p>
            <w:pPr>
              <w:pStyle w:val="6"/>
              <w:ind w:left="0" w:leftChars="0" w:firstLine="0" w:firstLineChars="0"/>
              <w:jc w:val="both"/>
              <w:rPr>
                <w:b/>
                <w:bCs/>
              </w:rPr>
            </w:pPr>
            <w:r>
              <w:rPr>
                <w:rFonts w:hint="eastAsia"/>
              </w:rPr>
              <w:t>废气长期稳定达标排放，各工段废气排放源点有相应的废气吸收处理设施，排气筒高度为15米符合规范要求，厂界无组织废气监控浓度达标。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857" w:hRule="atLeast"/>
        </w:trPr>
        <w:tc>
          <w:tcPr>
            <w:tcW w:w="4261" w:type="dxa"/>
            <w:tcBorders>
              <w:tl2br w:val="nil"/>
              <w:tr2bl w:val="nil"/>
            </w:tcBorders>
            <w:vAlign w:val="center"/>
          </w:tcPr>
          <w:p>
            <w:pPr>
              <w:jc w:val="both"/>
              <w:rPr>
                <w:b/>
                <w:bCs/>
                <w:szCs w:val="21"/>
              </w:rPr>
            </w:pPr>
            <w:r>
              <w:rPr>
                <w:rFonts w:ascii="Times New Roman" w:hAnsi="Times New Roman" w:cs="Times New Roman"/>
                <w:szCs w:val="21"/>
              </w:rPr>
              <w:t>选用先进、低噪声的生产设备，合理布置噪声源，并采取有效隔声、消声和减振措施，确保厂界噪声达《工业企业厂界环境噪声排放标准》（GB12348-2008）相应标准，防止影响周围环境。</w:t>
            </w:r>
          </w:p>
        </w:tc>
        <w:tc>
          <w:tcPr>
            <w:tcW w:w="4261" w:type="dxa"/>
            <w:tcBorders>
              <w:tl2br w:val="nil"/>
              <w:tr2bl w:val="nil"/>
            </w:tcBorders>
            <w:vAlign w:val="center"/>
          </w:tcPr>
          <w:p>
            <w:pPr>
              <w:pStyle w:val="6"/>
              <w:ind w:left="0" w:leftChars="0" w:firstLine="0" w:firstLineChars="0"/>
              <w:jc w:val="both"/>
              <w:rPr>
                <w:b/>
                <w:bCs/>
              </w:rPr>
            </w:pPr>
            <w:r>
              <w:rPr>
                <w:rFonts w:hint="eastAsia" w:cs="Times New Roman"/>
              </w:rPr>
              <w:t>建设单位采取</w:t>
            </w:r>
            <w:r>
              <w:rPr>
                <w:rFonts w:eastAsia="宋体" w:cs="Times New Roman"/>
              </w:rPr>
              <w:t>减振、隔声、消声等降噪措施</w:t>
            </w:r>
            <w:r>
              <w:rPr>
                <w:rFonts w:hint="eastAsia" w:cs="Times New Roman"/>
              </w:rPr>
              <w:t>，</w:t>
            </w:r>
            <w:r>
              <w:rPr>
                <w:rFonts w:eastAsia="宋体" w:cs="Times New Roman"/>
              </w:rPr>
              <w:t>厂界噪声达到《工业企业厂界环境噪声排放标准》（GB12348</w:t>
            </w:r>
            <w:r>
              <w:rPr>
                <w:rFonts w:hint="eastAsia" w:cs="Times New Roman"/>
              </w:rPr>
              <w:t>-</w:t>
            </w:r>
            <w:r>
              <w:rPr>
                <w:rFonts w:eastAsia="宋体" w:cs="Times New Roman"/>
              </w:rPr>
              <w:t>2008）3类标准</w:t>
            </w:r>
            <w:r>
              <w:rPr>
                <w:rFonts w:hint="eastAsia" w:cs="Times New Roma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480" w:hRule="atLeast"/>
        </w:trPr>
        <w:tc>
          <w:tcPr>
            <w:tcW w:w="4261" w:type="dxa"/>
            <w:tcBorders>
              <w:tl2br w:val="nil"/>
              <w:tr2bl w:val="nil"/>
            </w:tcBorders>
            <w:vAlign w:val="center"/>
          </w:tcPr>
          <w:p>
            <w:pPr>
              <w:pageBreakBefore w:val="0"/>
              <w:widowControl w:val="0"/>
              <w:kinsoku/>
              <w:wordWrap/>
              <w:overflowPunct/>
              <w:topLinePunct w:val="0"/>
              <w:autoSpaceDE/>
              <w:autoSpaceDN/>
              <w:bidi w:val="0"/>
              <w:adjustRightInd/>
              <w:snapToGrid/>
              <w:jc w:val="both"/>
              <w:textAlignment w:val="auto"/>
              <w:outlineLvl w:val="9"/>
              <w:rPr>
                <w:szCs w:val="21"/>
              </w:rPr>
            </w:pPr>
            <w:bookmarkStart w:id="355" w:name="_Toc11539"/>
            <w:bookmarkStart w:id="356" w:name="_Toc27670"/>
            <w:bookmarkStart w:id="357" w:name="_Toc8674"/>
            <w:r>
              <w:rPr>
                <w:rFonts w:cs="Times New Roman" w:eastAsiaTheme="minorEastAsia"/>
                <w:b w:val="0"/>
                <w:szCs w:val="21"/>
              </w:rPr>
              <w:t>所产生的危险废物、一般工业废物、生活垃圾必须分别按规定要求和标准设置暂存场地，并采取防扬散、防腐蚀、防流失等措施，设置标志牌。落实报告书提出的各类固体废物处置利用措施，实现固体废物零排放。危险废物转移处理必须按规定送有资质单位处置，严格执行危险废物转移联单制度。</w:t>
            </w:r>
            <w:bookmarkEnd w:id="355"/>
            <w:bookmarkEnd w:id="356"/>
          </w:p>
        </w:tc>
        <w:tc>
          <w:tcPr>
            <w:tcW w:w="4261" w:type="dxa"/>
            <w:tcBorders>
              <w:tl2br w:val="nil"/>
              <w:tr2bl w:val="nil"/>
            </w:tcBorders>
            <w:vAlign w:val="center"/>
          </w:tcPr>
          <w:p>
            <w:pPr>
              <w:pageBreakBefore w:val="0"/>
              <w:widowControl w:val="0"/>
              <w:kinsoku/>
              <w:wordWrap/>
              <w:overflowPunct/>
              <w:topLinePunct w:val="0"/>
              <w:autoSpaceDE/>
              <w:autoSpaceDN/>
              <w:bidi w:val="0"/>
              <w:adjustRightInd/>
              <w:snapToGrid/>
              <w:jc w:val="both"/>
              <w:textAlignment w:val="auto"/>
              <w:outlineLvl w:val="9"/>
              <w:rPr>
                <w:szCs w:val="21"/>
              </w:rPr>
            </w:pPr>
            <w:r>
              <w:rPr>
                <w:rFonts w:hint="eastAsia" w:cs="Times New Roman"/>
                <w:color w:val="000000"/>
                <w:szCs w:val="21"/>
              </w:rPr>
              <w:t>建设单位设置固废储存场所，</w:t>
            </w:r>
            <w:r>
              <w:rPr>
                <w:rFonts w:ascii="Times New Roman" w:hAnsi="Times New Roman" w:eastAsia="宋体" w:cs="Times New Roman"/>
                <w:szCs w:val="21"/>
              </w:rPr>
              <w:t>固体废物综合利用</w:t>
            </w:r>
            <w:r>
              <w:rPr>
                <w:rFonts w:hint="eastAsia" w:cs="Times New Roman"/>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884" w:hRule="atLeast"/>
        </w:trPr>
        <w:tc>
          <w:tcPr>
            <w:tcW w:w="4261" w:type="dxa"/>
            <w:tcBorders>
              <w:tl2br w:val="nil"/>
              <w:tr2bl w:val="nil"/>
            </w:tcBorders>
            <w:vAlign w:val="center"/>
          </w:tcPr>
          <w:p>
            <w:pPr>
              <w:pageBreakBefore w:val="0"/>
              <w:widowControl w:val="0"/>
              <w:kinsoku/>
              <w:wordWrap/>
              <w:overflowPunct/>
              <w:topLinePunct w:val="0"/>
              <w:autoSpaceDE/>
              <w:autoSpaceDN/>
              <w:bidi w:val="0"/>
              <w:adjustRightInd/>
              <w:snapToGrid/>
              <w:jc w:val="both"/>
              <w:textAlignment w:val="auto"/>
              <w:outlineLvl w:val="9"/>
              <w:rPr>
                <w:rFonts w:cs="Times New Roman"/>
                <w:b/>
              </w:rPr>
            </w:pPr>
            <w:r>
              <w:rPr>
                <w:rFonts w:ascii="Times New Roman" w:hAnsi="Times New Roman" w:cs="Times New Roman"/>
                <w:szCs w:val="21"/>
              </w:rPr>
              <w:t>按《江苏省排污口设置及规范化整治管理办法》（苏环控[1997]122号）的规定要求合理设置各类排污口和标识，排水口、排气筒应预留监测采样口。按报告书所提的环境监测方案，对厂区各类污染源进行监测。</w:t>
            </w:r>
          </w:p>
        </w:tc>
        <w:tc>
          <w:tcPr>
            <w:tcW w:w="4261" w:type="dxa"/>
            <w:tcBorders>
              <w:tl2br w:val="nil"/>
              <w:tr2bl w:val="nil"/>
            </w:tcBorders>
            <w:vAlign w:val="center"/>
          </w:tcPr>
          <w:p>
            <w:pPr>
              <w:pStyle w:val="6"/>
              <w:pageBreakBefore w:val="0"/>
              <w:widowControl w:val="0"/>
              <w:kinsoku/>
              <w:wordWrap/>
              <w:overflowPunct/>
              <w:topLinePunct w:val="0"/>
              <w:autoSpaceDE/>
              <w:autoSpaceDN/>
              <w:bidi w:val="0"/>
              <w:adjustRightInd/>
              <w:snapToGrid/>
              <w:ind w:left="0" w:leftChars="0" w:firstLine="0" w:firstLineChars="0"/>
              <w:jc w:val="both"/>
              <w:textAlignment w:val="auto"/>
              <w:outlineLvl w:val="9"/>
            </w:pPr>
            <w:r>
              <w:rPr>
                <w:rFonts w:hint="eastAsia" w:cs="Times New Roman"/>
              </w:rPr>
              <w:t>已</w:t>
            </w:r>
            <w:r>
              <w:rPr>
                <w:rFonts w:eastAsia="宋体" w:cs="Times New Roman"/>
              </w:rPr>
              <w:t>按《江苏省排污口设置及规范化整治管理办法》的要求规范化设置各类排污口和标志。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91" w:hRule="atLeast"/>
        </w:trPr>
        <w:tc>
          <w:tcPr>
            <w:tcW w:w="4261" w:type="dxa"/>
            <w:tcBorders>
              <w:tl2br w:val="nil"/>
              <w:tr2bl w:val="nil"/>
            </w:tcBorders>
            <w:vAlign w:val="center"/>
          </w:tcPr>
          <w:p>
            <w:pPr>
              <w:pageBreakBefore w:val="0"/>
              <w:widowControl w:val="0"/>
              <w:kinsoku/>
              <w:wordWrap/>
              <w:overflowPunct/>
              <w:topLinePunct w:val="0"/>
              <w:autoSpaceDE/>
              <w:autoSpaceDN/>
              <w:bidi w:val="0"/>
              <w:adjustRightInd/>
              <w:snapToGrid/>
              <w:jc w:val="both"/>
              <w:textAlignment w:val="auto"/>
              <w:outlineLvl w:val="9"/>
              <w:rPr>
                <w:rFonts w:cs="Times New Roman"/>
                <w:b/>
                <w:szCs w:val="21"/>
              </w:rPr>
            </w:pPr>
            <w:r>
              <w:rPr>
                <w:rFonts w:cs="Times New Roman"/>
                <w:szCs w:val="21"/>
              </w:rPr>
              <w:t>认真落实报告书提出的各项风险防范措施和事故应急措施，制定环境应急预案，定期组织演练，防止突发环境污染事故发生。环境卫生防护距离范围内，不得存在环境敏感目标，当地政府部门也不得在其范围内批准建设环境敏感保护目标。原辅材料及产品运输、贮存、管理和使用，以及报废，应严格按照相关规定执行，必须符合国家标准要求，并由专人负责管理。属于危险化学品的应当符合《危险化学品安全管理条例》的相关规定。有关安全、消防、卫生防疫等相应手续，必须报请相关主管部门审查同意，取得同意后方可建设生产。</w:t>
            </w:r>
          </w:p>
        </w:tc>
        <w:tc>
          <w:tcPr>
            <w:tcW w:w="4261" w:type="dxa"/>
            <w:tcBorders>
              <w:tl2br w:val="nil"/>
              <w:tr2bl w:val="nil"/>
            </w:tcBorders>
            <w:vAlign w:val="center"/>
          </w:tcPr>
          <w:p>
            <w:pPr>
              <w:pageBreakBefore w:val="0"/>
              <w:widowControl w:val="0"/>
              <w:kinsoku/>
              <w:wordWrap/>
              <w:overflowPunct/>
              <w:topLinePunct w:val="0"/>
              <w:autoSpaceDE/>
              <w:autoSpaceDN/>
              <w:bidi w:val="0"/>
              <w:adjustRightInd/>
              <w:snapToGrid/>
              <w:jc w:val="both"/>
              <w:textAlignment w:val="auto"/>
              <w:outlineLvl w:val="9"/>
              <w:rPr>
                <w:szCs w:val="21"/>
              </w:rPr>
            </w:pPr>
            <w:r>
              <w:rPr>
                <w:rFonts w:hint="eastAsia"/>
                <w:color w:val="000000" w:themeColor="text1"/>
                <w:szCs w:val="21"/>
                <w14:textFill>
                  <w14:solidFill>
                    <w14:schemeClr w14:val="tx1"/>
                  </w14:solidFill>
                </w14:textFill>
              </w:rPr>
              <w:t>已编制应急预案并已备案（备案号</w:t>
            </w:r>
            <w:r>
              <w:rPr>
                <w:rFonts w:ascii="Times New Roman" w:hAnsi="Times New Roman" w:cs="Times New Roman"/>
                <w:color w:val="000000" w:themeColor="text1"/>
                <w:szCs w:val="21"/>
                <w14:textFill>
                  <w14:solidFill>
                    <w14:schemeClr w14:val="tx1"/>
                  </w14:solidFill>
                </w14:textFill>
              </w:rPr>
              <w:t>321181-2018-021-L</w:t>
            </w:r>
            <w:r>
              <w:rPr>
                <w:rFonts w:hint="eastAsia" w:ascii="Times New Roman" w:hAnsi="Times New Roman" w:cs="Times New Roman"/>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，卫生防护距离内不存在环境敏感目标</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897" w:hRule="atLeast"/>
        </w:trPr>
        <w:tc>
          <w:tcPr>
            <w:tcW w:w="4261" w:type="dxa"/>
            <w:tcBorders>
              <w:tl2br w:val="nil"/>
              <w:tr2bl w:val="nil"/>
            </w:tcBorders>
            <w:vAlign w:val="center"/>
          </w:tcPr>
          <w:p>
            <w:pPr>
              <w:jc w:val="both"/>
              <w:rPr>
                <w:rFonts w:cs="Times New Roman"/>
                <w:bCs/>
                <w:szCs w:val="21"/>
              </w:rPr>
            </w:pPr>
            <w:r>
              <w:rPr>
                <w:rFonts w:ascii="Times New Roman" w:hAnsi="Times New Roman" w:cs="Times New Roman"/>
                <w:szCs w:val="21"/>
              </w:rPr>
              <w:t>加强项目建设施工期环境保护工作，文明施工。应选择先进的技术设备，采用先进的施工工艺和技术，落实水、气、声、震动、固体废物的防治措施，特别要加强建筑施工噪声、扬尘的控制和管理，合理安排作业时间，确保施工期各类污染物达标排放，不造成污染影响。施工区原材料应统一堆放，场地开挖作业要经常洒水，以减少扬尘；车辆进出应采取遮盖、密闭等措施，减少抛洒；施工现场禁止混凝土搅拌；严格控制夜间施工作业，避免噪声污染扰民，确需夜间施工作业的，必须依法申请办理夜间施工许可手续，经许可公告后方可施工。施工结束后应对弃土场及工程临时占地进行整治、恢复周围生态环境。按照《江苏省城市居住区和单位绿化标准》（DB32/139-95）的要求开展厂区绿化工作，建设必要的绿化安全防护隔离带，确保厂区可绿化覆盖率100%。</w:t>
            </w:r>
          </w:p>
        </w:tc>
        <w:tc>
          <w:tcPr>
            <w:tcW w:w="4261" w:type="dxa"/>
            <w:tcBorders>
              <w:tl2br w:val="nil"/>
              <w:tr2bl w:val="nil"/>
            </w:tcBorders>
            <w:vAlign w:val="center"/>
          </w:tcPr>
          <w:p>
            <w:pPr>
              <w:jc w:val="center"/>
              <w:rPr>
                <w:szCs w:val="21"/>
              </w:rPr>
            </w:pPr>
            <w:r>
              <w:rPr>
                <w:rFonts w:hint="eastAsia"/>
                <w:szCs w:val="21"/>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714" w:hRule="atLeast"/>
        </w:trPr>
        <w:tc>
          <w:tcPr>
            <w:tcW w:w="4261" w:type="dxa"/>
            <w:tcBorders>
              <w:tl2br w:val="nil"/>
              <w:tr2bl w:val="nil"/>
            </w:tcBorders>
            <w:vAlign w:val="center"/>
          </w:tcPr>
          <w:p>
            <w:pPr>
              <w:keepNext/>
              <w:keepLines/>
              <w:pageBreakBefore w:val="0"/>
              <w:widowControl w:val="0"/>
              <w:kinsoku/>
              <w:wordWrap/>
              <w:overflowPunct/>
              <w:topLinePunct w:val="0"/>
              <w:autoSpaceDE/>
              <w:autoSpaceDN/>
              <w:bidi w:val="0"/>
              <w:adjustRightInd/>
              <w:snapToGrid/>
              <w:jc w:val="both"/>
              <w:textAlignment w:val="auto"/>
              <w:outlineLvl w:val="9"/>
              <w:rPr>
                <w:rFonts w:cs="Times New Roman"/>
                <w:bCs/>
                <w:szCs w:val="21"/>
              </w:rPr>
            </w:pPr>
            <w:bookmarkStart w:id="358" w:name="_Toc29762"/>
            <w:bookmarkStart w:id="359" w:name="_Toc8135"/>
            <w:r>
              <w:rPr>
                <w:rFonts w:cs="Times New Roman" w:eastAsiaTheme="minorEastAsia"/>
                <w:b w:val="0"/>
                <w:szCs w:val="21"/>
              </w:rPr>
              <w:t>在工程设计和项目运营中进一步提高清洁生产水平，加强废水、废气处理设施运行的管理和监控，防范非正常工况污染物超标排放。企业内部应建立相应的环保管理网络和规章制度，设立专门机构，配备专职管理和技术人员，负责企业环保安全工作，按照环保“三同时”要求，落实相关污染防治措施和风险防范措施。</w:t>
            </w:r>
            <w:bookmarkEnd w:id="358"/>
            <w:bookmarkEnd w:id="359"/>
            <w:bookmarkStart w:id="406" w:name="_GoBack"/>
            <w:bookmarkEnd w:id="406"/>
          </w:p>
        </w:tc>
        <w:tc>
          <w:tcPr>
            <w:tcW w:w="4261" w:type="dxa"/>
            <w:tcBorders>
              <w:tl2br w:val="nil"/>
              <w:tr2bl w:val="nil"/>
            </w:tcBorders>
            <w:vAlign w:val="center"/>
          </w:tcPr>
          <w:p>
            <w:pPr>
              <w:jc w:val="center"/>
              <w:rPr>
                <w:szCs w:val="21"/>
              </w:rPr>
            </w:pPr>
            <w:r>
              <w:rPr>
                <w:rFonts w:ascii="Times New Roman" w:hAnsi="Times New Roman" w:eastAsia="宋体" w:cs="Times New Roman"/>
                <w:szCs w:val="21"/>
              </w:rPr>
              <w:t>环保设施与主体工程同时建成</w:t>
            </w:r>
            <w:r>
              <w:rPr>
                <w:rFonts w:hint="eastAsia" w:cs="Times New Roman"/>
                <w:szCs w:val="21"/>
              </w:rPr>
              <w:t>。</w:t>
            </w:r>
          </w:p>
        </w:tc>
      </w:tr>
    </w:tbl>
    <w:p>
      <w:pPr>
        <w:spacing w:line="360" w:lineRule="auto"/>
        <w:rPr>
          <w:rFonts w:ascii="Times New Roman" w:hAnsi="Times New Roman" w:cs="Times New Roman"/>
          <w:b/>
          <w:sz w:val="24"/>
        </w:rPr>
      </w:pPr>
    </w:p>
    <w:bookmarkEnd w:id="357"/>
    <w:p>
      <w:pPr>
        <w:pStyle w:val="6"/>
        <w:spacing w:line="360" w:lineRule="auto"/>
        <w:ind w:firstLine="0"/>
        <w:rPr>
          <w:rFonts w:asciiTheme="minorEastAsia" w:hAnsiTheme="minorEastAsia" w:cstheme="minorEastAsia"/>
          <w:sz w:val="24"/>
          <w:szCs w:val="24"/>
        </w:rPr>
        <w:sectPr>
          <w:pgSz w:w="11906" w:h="16838"/>
          <w:pgMar w:top="1440" w:right="1800" w:bottom="1440" w:left="1800" w:header="851" w:footer="992" w:gutter="0"/>
          <w:cols w:space="425" w:num="1"/>
          <w:docGrid w:type="lines" w:linePitch="312" w:charSpace="0"/>
        </w:sectPr>
      </w:pPr>
    </w:p>
    <w:p>
      <w:pPr>
        <w:pStyle w:val="6"/>
        <w:numPr>
          <w:ilvl w:val="0"/>
          <w:numId w:val="5"/>
        </w:numPr>
        <w:ind w:firstLine="0"/>
        <w:outlineLvl w:val="0"/>
        <w:rPr>
          <w:rFonts w:cs="Times New Roman"/>
          <w:b/>
          <w:bCs/>
          <w:sz w:val="28"/>
          <w:szCs w:val="28"/>
        </w:rPr>
      </w:pPr>
      <w:bookmarkStart w:id="360" w:name="_Toc9689_WPSOffice_Level2"/>
      <w:bookmarkStart w:id="361" w:name="_Toc13846"/>
      <w:r>
        <w:rPr>
          <w:rFonts w:hint="eastAsia" w:cs="Times New Roman"/>
          <w:b/>
          <w:bCs/>
          <w:sz w:val="28"/>
          <w:szCs w:val="28"/>
        </w:rPr>
        <w:t>结论和建议</w:t>
      </w:r>
      <w:bookmarkEnd w:id="360"/>
      <w:bookmarkEnd w:id="361"/>
    </w:p>
    <w:p>
      <w:pPr>
        <w:spacing w:line="360" w:lineRule="auto"/>
        <w:outlineLvl w:val="1"/>
        <w:rPr>
          <w:rFonts w:ascii="Times New Roman" w:hAnsi="Times New Roman" w:eastAsia="宋体" w:cs="Times New Roman"/>
          <w:b/>
          <w:color w:val="000000" w:themeColor="text1"/>
          <w:sz w:val="24"/>
          <w:szCs w:val="28"/>
          <w14:textFill>
            <w14:solidFill>
              <w14:schemeClr w14:val="tx1"/>
            </w14:solidFill>
          </w14:textFill>
        </w:rPr>
      </w:pPr>
      <w:bookmarkStart w:id="362" w:name="_Toc2388"/>
      <w:bookmarkStart w:id="363" w:name="_Toc9002"/>
      <w:bookmarkStart w:id="364" w:name="_Toc25632"/>
      <w:bookmarkStart w:id="365" w:name="_Toc25854"/>
      <w:bookmarkStart w:id="366" w:name="_Toc10327"/>
      <w:bookmarkStart w:id="367" w:name="_Toc18589"/>
      <w:bookmarkStart w:id="368" w:name="_Toc14315"/>
      <w:bookmarkStart w:id="369" w:name="_Toc24500"/>
      <w:bookmarkStart w:id="370" w:name="_Toc23841"/>
      <w:bookmarkStart w:id="371" w:name="_Toc23015"/>
      <w:bookmarkStart w:id="372" w:name="_Toc20538"/>
      <w:bookmarkStart w:id="373" w:name="_Toc31420"/>
      <w:bookmarkStart w:id="374" w:name="_Toc31667"/>
      <w:bookmarkStart w:id="375" w:name="_Toc4154"/>
      <w:bookmarkStart w:id="376" w:name="_Toc499296980"/>
      <w:bookmarkStart w:id="377" w:name="_Toc240685275"/>
      <w:bookmarkStart w:id="378" w:name="_Toc147311712"/>
      <w:bookmarkStart w:id="379" w:name="_Toc27862"/>
      <w:bookmarkStart w:id="380" w:name="_Toc7215"/>
      <w:bookmarkStart w:id="381" w:name="_Toc21714"/>
      <w:bookmarkStart w:id="382" w:name="_Toc6010"/>
      <w:bookmarkStart w:id="383" w:name="_Toc117507033"/>
      <w:bookmarkStart w:id="384" w:name="_Toc16561"/>
      <w:bookmarkStart w:id="385" w:name="_Toc138754849"/>
      <w:bookmarkStart w:id="386" w:name="_Toc234035073"/>
      <w:bookmarkStart w:id="387" w:name="_Toc438989307"/>
      <w:bookmarkStart w:id="388" w:name="_Toc2474"/>
      <w:bookmarkStart w:id="389" w:name="_Toc267381921"/>
      <w:bookmarkStart w:id="390" w:name="_Toc230960663"/>
      <w:bookmarkStart w:id="391" w:name="_Toc205887159"/>
      <w:bookmarkStart w:id="392" w:name="_Toc1954"/>
      <w:bookmarkStart w:id="393" w:name="_Toc156728566"/>
      <w:bookmarkStart w:id="394" w:name="_Toc6147"/>
      <w:bookmarkStart w:id="395" w:name="_Toc248737958"/>
      <w:bookmarkStart w:id="396" w:name="_Toc306008009"/>
      <w:bookmarkStart w:id="397" w:name="_Toc471484716"/>
      <w:bookmarkStart w:id="398" w:name="_Toc28473_WPSOffice_Level3"/>
      <w:r>
        <w:rPr>
          <w:rFonts w:ascii="Times New Roman" w:hAnsi="Times New Roman" w:eastAsia="宋体" w:cs="Times New Roman"/>
          <w:b/>
          <w:sz w:val="24"/>
          <w:szCs w:val="28"/>
        </w:rPr>
        <w:t>11.1</w:t>
      </w:r>
      <w:r>
        <w:rPr>
          <w:rFonts w:ascii="Times New Roman" w:hAnsi="Times New Roman" w:eastAsia="宋体" w:cs="Times New Roman"/>
          <w:b/>
          <w:color w:val="000000" w:themeColor="text1"/>
          <w:sz w:val="24"/>
          <w:szCs w:val="28"/>
          <w14:textFill>
            <w14:solidFill>
              <w14:schemeClr w14:val="tx1"/>
            </w14:solidFill>
          </w14:textFill>
        </w:rPr>
        <w:t>环保设施处理效率监测结果</w:t>
      </w:r>
      <w:bookmarkEnd w:id="362"/>
      <w:bookmarkEnd w:id="363"/>
      <w:bookmarkEnd w:id="364"/>
      <w:bookmarkEnd w:id="365"/>
      <w:bookmarkEnd w:id="366"/>
      <w:bookmarkEnd w:id="367"/>
      <w:bookmarkEnd w:id="368"/>
      <w:bookmarkEnd w:id="369"/>
      <w:bookmarkEnd w:id="370"/>
      <w:bookmarkEnd w:id="371"/>
      <w:bookmarkEnd w:id="372"/>
    </w:p>
    <w:p>
      <w:pPr>
        <w:adjustRightInd w:val="0"/>
        <w:spacing w:line="360" w:lineRule="auto"/>
        <w:ind w:firstLine="480" w:firstLineChars="200"/>
        <w:rPr>
          <w:rFonts w:ascii="Times New Roman" w:hAnsi="Times New Roman" w:eastAsia="宋体" w:cs="Times New Roman"/>
          <w:color w:val="auto"/>
          <w:sz w:val="24"/>
        </w:rPr>
      </w:pPr>
      <w:r>
        <w:rPr>
          <w:rFonts w:hint="eastAsia" w:ascii="Times New Roman" w:hAnsi="Times New Roman" w:eastAsia="宋体" w:cs="Times New Roman"/>
          <w:color w:val="000000" w:themeColor="text1"/>
          <w:sz w:val="24"/>
          <w14:textFill>
            <w14:solidFill>
              <w14:schemeClr w14:val="tx1"/>
            </w14:solidFill>
          </w14:textFill>
        </w:rPr>
        <w:t>本项目污水</w:t>
      </w:r>
      <w:r>
        <w:rPr>
          <w:rFonts w:ascii="Times New Roman" w:hAnsi="Times New Roman" w:eastAsia="宋体" w:cs="Times New Roman"/>
          <w:color w:val="000000" w:themeColor="text1"/>
          <w:sz w:val="24"/>
          <w14:textFill>
            <w14:solidFill>
              <w14:schemeClr w14:val="tx1"/>
            </w14:solidFill>
          </w14:textFill>
        </w:rPr>
        <w:t>处理站处理效率如下：</w:t>
      </w:r>
      <w:r>
        <w:rPr>
          <w:rFonts w:ascii="Times New Roman" w:hAnsi="Times New Roman" w:eastAsia="宋体" w:cs="Times New Roman"/>
          <w:color w:val="auto"/>
          <w:sz w:val="24"/>
        </w:rPr>
        <w:t>化学需氧量</w:t>
      </w:r>
      <w:r>
        <w:rPr>
          <w:rFonts w:hint="eastAsia" w:cs="Times New Roman"/>
          <w:color w:val="auto"/>
          <w:sz w:val="24"/>
        </w:rPr>
        <w:t>的</w:t>
      </w:r>
      <w:r>
        <w:rPr>
          <w:rFonts w:ascii="Times New Roman" w:hAnsi="Times New Roman" w:eastAsia="宋体" w:cs="Times New Roman"/>
          <w:color w:val="auto"/>
          <w:sz w:val="24"/>
        </w:rPr>
        <w:t>处理效率</w:t>
      </w:r>
      <w:r>
        <w:rPr>
          <w:rFonts w:hint="eastAsia" w:ascii="Times New Roman" w:hAnsi="Times New Roman" w:eastAsia="宋体" w:cs="Times New Roman"/>
          <w:color w:val="auto"/>
          <w:sz w:val="24"/>
        </w:rPr>
        <w:t>为</w:t>
      </w:r>
      <w:r>
        <w:rPr>
          <w:rFonts w:hint="eastAsia" w:ascii="Times New Roman" w:hAnsi="Times New Roman" w:eastAsia="宋体" w:cs="Times New Roman"/>
          <w:color w:val="auto"/>
          <w:sz w:val="24"/>
          <w:lang w:val="en-US" w:eastAsia="zh-CN"/>
        </w:rPr>
        <w:t>89.8</w:t>
      </w:r>
      <w:r>
        <w:rPr>
          <w:rFonts w:hint="eastAsia"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90.9</w:t>
      </w:r>
      <w:r>
        <w:rPr>
          <w:rFonts w:hint="eastAsia" w:ascii="Times New Roman" w:hAnsi="Times New Roman" w:eastAsia="宋体" w:cs="Times New Roman"/>
          <w:color w:val="auto"/>
          <w:sz w:val="24"/>
        </w:rPr>
        <w:t>%</w:t>
      </w:r>
      <w:r>
        <w:rPr>
          <w:rFonts w:ascii="Times New Roman" w:hAnsi="Times New Roman" w:eastAsia="宋体" w:cs="Times New Roman"/>
          <w:color w:val="auto"/>
          <w:sz w:val="24"/>
        </w:rPr>
        <w:t>，悬浮物</w:t>
      </w:r>
      <w:r>
        <w:rPr>
          <w:rFonts w:hint="eastAsia" w:cs="Times New Roman"/>
          <w:color w:val="auto"/>
          <w:sz w:val="24"/>
        </w:rPr>
        <w:t>的</w:t>
      </w:r>
      <w:r>
        <w:rPr>
          <w:rFonts w:ascii="Times New Roman" w:hAnsi="Times New Roman" w:eastAsia="宋体" w:cs="Times New Roman"/>
          <w:color w:val="auto"/>
          <w:sz w:val="24"/>
        </w:rPr>
        <w:t>处理效率</w:t>
      </w:r>
      <w:r>
        <w:rPr>
          <w:rFonts w:hint="eastAsia" w:ascii="Times New Roman" w:hAnsi="Times New Roman" w:eastAsia="宋体" w:cs="Times New Roman"/>
          <w:color w:val="auto"/>
          <w:sz w:val="24"/>
          <w:lang w:val="en-US" w:eastAsia="zh-CN"/>
        </w:rPr>
        <w:t>83.1</w:t>
      </w:r>
      <w:r>
        <w:rPr>
          <w:rFonts w:hint="eastAsia"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88.2</w:t>
      </w:r>
      <w:r>
        <w:rPr>
          <w:rFonts w:hint="eastAsia" w:ascii="Times New Roman" w:hAnsi="Times New Roman" w:eastAsia="宋体" w:cs="Times New Roman"/>
          <w:color w:val="auto"/>
          <w:sz w:val="24"/>
        </w:rPr>
        <w:t>%</w:t>
      </w:r>
      <w:r>
        <w:rPr>
          <w:rFonts w:hint="eastAsia" w:cs="Times New Roman"/>
          <w:color w:val="auto"/>
          <w:sz w:val="24"/>
        </w:rPr>
        <w:t>，石油类的</w:t>
      </w:r>
      <w:r>
        <w:rPr>
          <w:rFonts w:ascii="Times New Roman" w:hAnsi="Times New Roman" w:eastAsia="宋体" w:cs="Times New Roman"/>
          <w:color w:val="auto"/>
          <w:sz w:val="24"/>
        </w:rPr>
        <w:t>处理效率</w:t>
      </w:r>
      <w:r>
        <w:rPr>
          <w:rFonts w:hint="eastAsia" w:ascii="Times New Roman" w:hAnsi="Times New Roman" w:eastAsia="宋体" w:cs="Times New Roman"/>
          <w:color w:val="auto"/>
          <w:sz w:val="24"/>
          <w:lang w:val="en-US" w:eastAsia="zh-CN"/>
        </w:rPr>
        <w:t>80.3</w:t>
      </w:r>
      <w:r>
        <w:rPr>
          <w:rFonts w:hint="eastAsia"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86.7</w:t>
      </w:r>
      <w:r>
        <w:rPr>
          <w:rFonts w:hint="eastAsia" w:ascii="Times New Roman" w:hAnsi="Times New Roman" w:eastAsia="宋体" w:cs="Times New Roman"/>
          <w:color w:val="auto"/>
          <w:sz w:val="24"/>
        </w:rPr>
        <w:t>%</w:t>
      </w:r>
      <w:r>
        <w:rPr>
          <w:rFonts w:ascii="Times New Roman" w:hAnsi="Times New Roman" w:eastAsia="宋体" w:cs="Times New Roman"/>
          <w:color w:val="auto"/>
          <w:sz w:val="24"/>
        </w:rPr>
        <w:t>。</w:t>
      </w:r>
    </w:p>
    <w:p>
      <w:pPr>
        <w:spacing w:line="360" w:lineRule="auto"/>
        <w:outlineLvl w:val="1"/>
        <w:rPr>
          <w:rFonts w:ascii="Times New Roman" w:hAnsi="Times New Roman" w:eastAsia="宋体" w:cs="Times New Roman"/>
          <w:b/>
          <w:color w:val="000000" w:themeColor="text1"/>
          <w:sz w:val="24"/>
          <w:szCs w:val="28"/>
          <w14:textFill>
            <w14:solidFill>
              <w14:schemeClr w14:val="tx1"/>
            </w14:solidFill>
          </w14:textFill>
        </w:rPr>
      </w:pPr>
      <w:bookmarkStart w:id="399" w:name="_Toc29516"/>
      <w:r>
        <w:rPr>
          <w:rFonts w:ascii="Times New Roman" w:hAnsi="Times New Roman" w:eastAsia="宋体" w:cs="Times New Roman"/>
          <w:b/>
          <w:color w:val="000000" w:themeColor="text1"/>
          <w:sz w:val="24"/>
          <w:szCs w:val="28"/>
          <w14:textFill>
            <w14:solidFill>
              <w14:schemeClr w14:val="tx1"/>
            </w14:solidFill>
          </w14:textFill>
        </w:rPr>
        <w:t>11.</w:t>
      </w:r>
      <w:r>
        <w:rPr>
          <w:rFonts w:hint="eastAsia" w:ascii="Times New Roman" w:hAnsi="Times New Roman" w:eastAsia="宋体" w:cs="Times New Roman"/>
          <w:b/>
          <w:color w:val="000000" w:themeColor="text1"/>
          <w:sz w:val="24"/>
          <w:szCs w:val="28"/>
          <w14:textFill>
            <w14:solidFill>
              <w14:schemeClr w14:val="tx1"/>
            </w14:solidFill>
          </w14:textFill>
        </w:rPr>
        <w:t>2</w:t>
      </w:r>
      <w:bookmarkEnd w:id="373"/>
      <w:bookmarkEnd w:id="374"/>
      <w:bookmarkEnd w:id="375"/>
      <w:r>
        <w:rPr>
          <w:rFonts w:ascii="Times New Roman" w:hAnsi="Times New Roman" w:eastAsia="宋体" w:cs="Times New Roman"/>
          <w:b/>
          <w:color w:val="000000" w:themeColor="text1"/>
          <w:sz w:val="24"/>
          <w:szCs w:val="28"/>
          <w14:textFill>
            <w14:solidFill>
              <w14:schemeClr w14:val="tx1"/>
            </w14:solidFill>
          </w14:textFill>
        </w:rPr>
        <w:t>污染物排放监测结果</w:t>
      </w:r>
      <w:bookmarkEnd w:id="399"/>
    </w:p>
    <w:p>
      <w:pPr>
        <w:spacing w:line="360" w:lineRule="auto"/>
        <w:outlineLvl w:val="2"/>
        <w:rPr>
          <w:rFonts w:ascii="Times New Roman" w:hAnsi="Times New Roman" w:cs="Times New Roman"/>
          <w:b/>
          <w:color w:val="000000" w:themeColor="text1"/>
          <w:sz w:val="24"/>
          <w14:textFill>
            <w14:solidFill>
              <w14:schemeClr w14:val="tx1"/>
            </w14:solidFill>
          </w14:textFill>
        </w:rPr>
      </w:pPr>
      <w:bookmarkStart w:id="400" w:name="_Toc26880"/>
      <w:r>
        <w:rPr>
          <w:rFonts w:ascii="Times New Roman" w:hAnsi="Times New Roman" w:eastAsia="宋体" w:cs="Times New Roman"/>
          <w:b/>
          <w:bCs/>
          <w:color w:val="000000" w:themeColor="text1"/>
          <w:sz w:val="24"/>
          <w14:textFill>
            <w14:solidFill>
              <w14:schemeClr w14:val="tx1"/>
            </w14:solidFill>
          </w14:textFill>
        </w:rPr>
        <w:t>11.</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Pr>
          <w:rFonts w:hint="eastAsia" w:ascii="Times New Roman" w:hAnsi="Times New Roman" w:eastAsia="宋体" w:cs="Times New Roman"/>
          <w:b/>
          <w:bCs/>
          <w:color w:val="000000" w:themeColor="text1"/>
          <w:sz w:val="24"/>
          <w14:textFill>
            <w14:solidFill>
              <w14:schemeClr w14:val="tx1"/>
            </w14:solidFill>
          </w14:textFill>
        </w:rPr>
        <w:t>2</w:t>
      </w:r>
      <w:r>
        <w:rPr>
          <w:rFonts w:ascii="Times New Roman" w:hAnsi="Times New Roman" w:cs="Times New Roman"/>
          <w:b/>
          <w:bCs/>
          <w:color w:val="000000" w:themeColor="text1"/>
          <w:sz w:val="24"/>
          <w14:textFill>
            <w14:solidFill>
              <w14:schemeClr w14:val="tx1"/>
            </w14:solidFill>
          </w14:textFill>
        </w:rPr>
        <w:t>.1</w:t>
      </w:r>
      <w:r>
        <w:rPr>
          <w:rFonts w:ascii="Times New Roman" w:hAnsi="Times New Roman" w:cs="Times New Roman"/>
          <w:b/>
          <w:color w:val="000000" w:themeColor="text1"/>
          <w:sz w:val="24"/>
          <w14:textFill>
            <w14:solidFill>
              <w14:schemeClr w14:val="tx1"/>
            </w14:solidFill>
          </w14:textFill>
        </w:rPr>
        <w:t>废水</w:t>
      </w:r>
      <w:bookmarkEnd w:id="400"/>
    </w:p>
    <w:p>
      <w:pPr>
        <w:keepNext/>
        <w:keepLines/>
        <w:numPr>
          <w:ilvl w:val="0"/>
          <w:numId w:val="6"/>
        </w:numPr>
        <w:spacing w:line="360" w:lineRule="auto"/>
        <w:ind w:firstLine="480" w:firstLineChars="200"/>
        <w:rPr>
          <w:rFonts w:ascii="Times New Roman" w:hAnsi="Times New Roman" w:cs="Times New Roman"/>
          <w:bCs/>
          <w:color w:val="000000" w:themeColor="text1"/>
          <w:sz w:val="24"/>
          <w14:textFill>
            <w14:solidFill>
              <w14:schemeClr w14:val="tx1"/>
            </w14:solidFill>
          </w14:textFill>
        </w:rPr>
      </w:pPr>
      <w:r>
        <w:rPr>
          <w:rFonts w:ascii="Times New Roman" w:hAnsi="Times New Roman" w:cs="Times New Roman"/>
          <w:bCs/>
          <w:color w:val="000000" w:themeColor="text1"/>
          <w:sz w:val="24"/>
          <w14:textFill>
            <w14:solidFill>
              <w14:schemeClr w14:val="tx1"/>
            </w14:solidFill>
          </w14:textFill>
        </w:rPr>
        <w:t>本项目生产废水处理设施排放口的pH值、化学需氧量、悬浮物、石油类的浓度符合《电镀污染物排放标准》（GB21900-2008）表3标准</w:t>
      </w:r>
      <w:r>
        <w:rPr>
          <w:rFonts w:hint="eastAsia" w:ascii="Times New Roman" w:hAnsi="Times New Roman" w:cs="Times New Roman"/>
          <w:bCs/>
          <w:color w:val="000000" w:themeColor="text1"/>
          <w:sz w:val="24"/>
          <w14:textFill>
            <w14:solidFill>
              <w14:schemeClr w14:val="tx1"/>
            </w14:solidFill>
          </w14:textFill>
        </w:rPr>
        <w:t>。</w:t>
      </w:r>
    </w:p>
    <w:p>
      <w:pPr>
        <w:spacing w:line="360" w:lineRule="auto"/>
        <w:ind w:firstLine="480" w:firstLineChars="200"/>
        <w:rPr>
          <w:rFonts w:ascii="Times New Roman" w:hAnsi="Times New Roman" w:cs="Times New Roman"/>
          <w:b/>
          <w:bCs/>
          <w:color w:val="000000" w:themeColor="text1"/>
          <w:sz w:val="24"/>
          <w14:textFill>
            <w14:solidFill>
              <w14:schemeClr w14:val="tx1"/>
            </w14:solidFill>
          </w14:textFill>
        </w:rPr>
      </w:pPr>
      <w:r>
        <w:rPr>
          <w:rFonts w:hint="eastAsia" w:ascii="Times New Roman" w:hAnsi="Times New Roman" w:cs="Times New Roman"/>
          <w:bCs/>
          <w:color w:val="000000" w:themeColor="text1"/>
          <w:sz w:val="24"/>
          <w14:textFill>
            <w14:solidFill>
              <w14:schemeClr w14:val="tx1"/>
            </w14:solidFill>
          </w14:textFill>
        </w:rPr>
        <w:t>（2）</w:t>
      </w:r>
      <w:r>
        <w:rPr>
          <w:rFonts w:ascii="Times New Roman" w:hAnsi="Times New Roman" w:cs="Times New Roman"/>
          <w:bCs/>
          <w:color w:val="000000" w:themeColor="text1"/>
          <w:sz w:val="24"/>
          <w14:textFill>
            <w14:solidFill>
              <w14:schemeClr w14:val="tx1"/>
            </w14:solidFill>
          </w14:textFill>
        </w:rPr>
        <w:t>本项目生活污水排放口的pH值、化学需氧量、悬浮物、氨氮、总磷和</w:t>
      </w:r>
      <w:r>
        <w:rPr>
          <w:rFonts w:hint="eastAsia" w:ascii="Times New Roman" w:hAnsi="Times New Roman" w:cs="Times New Roman"/>
          <w:bCs/>
          <w:color w:val="000000" w:themeColor="text1"/>
          <w:sz w:val="24"/>
          <w14:textFill>
            <w14:solidFill>
              <w14:schemeClr w14:val="tx1"/>
            </w14:solidFill>
          </w14:textFill>
        </w:rPr>
        <w:t>动植物油</w:t>
      </w:r>
      <w:r>
        <w:rPr>
          <w:rFonts w:ascii="Times New Roman" w:hAnsi="Times New Roman" w:cs="Times New Roman"/>
          <w:bCs/>
          <w:color w:val="000000" w:themeColor="text1"/>
          <w:sz w:val="24"/>
          <w14:textFill>
            <w14:solidFill>
              <w14:schemeClr w14:val="tx1"/>
            </w14:solidFill>
          </w14:textFill>
        </w:rPr>
        <w:t>的</w:t>
      </w:r>
      <w:r>
        <w:rPr>
          <w:rFonts w:hint="eastAsia" w:ascii="Times New Roman" w:hAnsi="Times New Roman" w:cs="Times New Roman"/>
          <w:bCs/>
          <w:color w:val="000000" w:themeColor="text1"/>
          <w:sz w:val="24"/>
          <w14:textFill>
            <w14:solidFill>
              <w14:schemeClr w14:val="tx1"/>
            </w14:solidFill>
          </w14:textFill>
        </w:rPr>
        <w:t>接管</w:t>
      </w:r>
      <w:r>
        <w:rPr>
          <w:rFonts w:ascii="Times New Roman" w:hAnsi="Times New Roman" w:cs="Times New Roman"/>
          <w:bCs/>
          <w:color w:val="000000" w:themeColor="text1"/>
          <w:sz w:val="24"/>
          <w14:textFill>
            <w14:solidFill>
              <w14:schemeClr w14:val="tx1"/>
            </w14:solidFill>
          </w14:textFill>
        </w:rPr>
        <w:t>浓度符合</w:t>
      </w:r>
      <w:r>
        <w:rPr>
          <w:rFonts w:hint="eastAsia" w:ascii="Times New Roman" w:hAnsi="Times New Roman" w:cs="Times New Roman"/>
          <w:bCs/>
          <w:color w:val="000000" w:themeColor="text1"/>
          <w:sz w:val="24"/>
          <w14:textFill>
            <w14:solidFill>
              <w14:schemeClr w14:val="tx1"/>
            </w14:solidFill>
          </w14:textFill>
        </w:rPr>
        <w:t>司徒污水厂接管标准。</w:t>
      </w:r>
    </w:p>
    <w:p>
      <w:pPr>
        <w:spacing w:line="360" w:lineRule="auto"/>
        <w:outlineLvl w:val="2"/>
        <w:rPr>
          <w:rFonts w:ascii="Times New Roman" w:hAnsi="Times New Roman" w:eastAsia="宋体" w:cs="Times New Roman"/>
          <w:b/>
          <w:bCs/>
          <w:color w:val="000000" w:themeColor="text1"/>
          <w:sz w:val="24"/>
          <w14:textFill>
            <w14:solidFill>
              <w14:schemeClr w14:val="tx1"/>
            </w14:solidFill>
          </w14:textFill>
        </w:rPr>
      </w:pPr>
      <w:bookmarkStart w:id="401" w:name="_Toc4329"/>
      <w:r>
        <w:rPr>
          <w:rFonts w:ascii="Times New Roman" w:hAnsi="Times New Roman" w:eastAsia="宋体" w:cs="Times New Roman"/>
          <w:b/>
          <w:bCs/>
          <w:color w:val="000000" w:themeColor="text1"/>
          <w:sz w:val="24"/>
          <w14:textFill>
            <w14:solidFill>
              <w14:schemeClr w14:val="tx1"/>
            </w14:solidFill>
          </w14:textFill>
        </w:rPr>
        <w:t>11.</w:t>
      </w:r>
      <w:r>
        <w:rPr>
          <w:rFonts w:hint="eastAsia" w:ascii="Times New Roman" w:hAnsi="Times New Roman" w:eastAsia="宋体" w:cs="Times New Roman"/>
          <w:b/>
          <w:bCs/>
          <w:color w:val="000000" w:themeColor="text1"/>
          <w:sz w:val="24"/>
          <w14:textFill>
            <w14:solidFill>
              <w14:schemeClr w14:val="tx1"/>
            </w14:solidFill>
          </w14:textFill>
        </w:rPr>
        <w:t>2</w:t>
      </w:r>
      <w:r>
        <w:rPr>
          <w:rFonts w:ascii="Times New Roman" w:hAnsi="Times New Roman" w:eastAsia="宋体" w:cs="Times New Roman"/>
          <w:b/>
          <w:bCs/>
          <w:color w:val="000000" w:themeColor="text1"/>
          <w:sz w:val="24"/>
          <w14:textFill>
            <w14:solidFill>
              <w14:schemeClr w14:val="tx1"/>
            </w14:solidFill>
          </w14:textFill>
        </w:rPr>
        <w:t>.2废气</w:t>
      </w:r>
      <w:bookmarkEnd w:id="401"/>
    </w:p>
    <w:p>
      <w:pPr>
        <w:pStyle w:val="35"/>
        <w:numPr>
          <w:ilvl w:val="0"/>
          <w:numId w:val="7"/>
        </w:numPr>
        <w:spacing w:line="360" w:lineRule="auto"/>
        <w:ind w:left="0" w:firstLine="480" w:firstLineChars="200"/>
        <w:jc w:val="both"/>
        <w:rPr>
          <w:rFonts w:hint="default"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pP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本项目</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1#排气筒调喷漆废气VOCs排放浓度符合天津市地方标准《工业企业挥发性有机物排放控制标准》（DB12/524-2014）表2“表面涂装”中相应限值，</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乙酸丁酯、丁醇</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排放速率符合</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《制定地方大气污染物排放标准的技术方法》（GB/T13201-91）推算</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值，颗粒物</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排放</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浓度符合</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《大气污染物综合排放标准》（GB16297-1996）表2中二级</w:t>
      </w:r>
      <w:r>
        <w:rPr>
          <w:rFonts w:ascii="Times New Roman" w:hAnsi="Times New Roman" w:cs="Times New Roman" w:eastAsiaTheme="minorEastAsia"/>
          <w:b w:val="0"/>
          <w:bCs/>
          <w:color w:val="000000" w:themeColor="text1"/>
          <w:kern w:val="2"/>
          <w:sz w:val="24"/>
          <w:szCs w:val="24"/>
          <w:lang w:val="zh-CN" w:eastAsia="zh-CN" w:bidi="ar-SA"/>
          <w14:textFill>
            <w14:solidFill>
              <w14:schemeClr w14:val="tx1"/>
            </w14:solidFill>
          </w14:textFill>
        </w:rPr>
        <w:t>标准</w:t>
      </w:r>
      <w:r>
        <w:rPr>
          <w:rFonts w:hint="eastAsia" w:ascii="Times New Roman" w:hAnsi="Times New Roman" w:cs="Times New Roman" w:eastAsiaTheme="minorEastAsia"/>
          <w:b w:val="0"/>
          <w:bCs/>
          <w:color w:val="000000" w:themeColor="text1"/>
          <w:kern w:val="2"/>
          <w:sz w:val="24"/>
          <w:szCs w:val="24"/>
          <w:lang w:val="zh-CN" w:eastAsia="zh-CN" w:bidi="ar-SA"/>
          <w14:textFill>
            <w14:solidFill>
              <w14:schemeClr w14:val="tx1"/>
            </w14:solidFill>
          </w14:textFill>
        </w:rPr>
        <w:t>；</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烘干废气、天然气燃烧废气通过2#排气筒混合排放，VOCs排放浓度符合天津市地方标准《工业企业挥发性有机物排放控制标准》（DB12/524-2014）表2“表面涂装”中相应限值的换算值，颗粒物、二氧化硫、氮氧化物排放浓度符合</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《锅炉大气污染物排放标准》（GB13271-2014）表3中燃气锅炉排放大气污染物排放特别限值</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的换算值，</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乙酸丁酯、丁醇排放</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速率</w:t>
      </w:r>
      <w:r>
        <w:rPr>
          <w:rFonts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根据《制定地方大气污染物排放标准的技术方法》（GB/T13201-91）推算得出</w:t>
      </w:r>
      <w:r>
        <w:rPr>
          <w:rFonts w:hint="eastAsia" w:ascii="Times New Roman" w:hAnsi="Times New Roman" w:cs="Times New Roman" w:eastAsiaTheme="minorEastAsia"/>
          <w:b w:val="0"/>
          <w:bCs/>
          <w:color w:val="000000" w:themeColor="text1"/>
          <w:kern w:val="2"/>
          <w:sz w:val="24"/>
          <w:szCs w:val="24"/>
          <w:lang w:val="en-US" w:eastAsia="zh-CN" w:bidi="ar-SA"/>
          <w14:textFill>
            <w14:solidFill>
              <w14:schemeClr w14:val="tx1"/>
            </w14:solidFill>
          </w14:textFill>
        </w:rPr>
        <w:t>。</w:t>
      </w:r>
    </w:p>
    <w:p>
      <w:pPr>
        <w:pStyle w:val="35"/>
        <w:numPr>
          <w:ilvl w:val="0"/>
          <w:numId w:val="7"/>
        </w:numPr>
        <w:spacing w:line="360" w:lineRule="auto"/>
        <w:ind w:left="0" w:firstLine="480" w:firstLineChars="200"/>
        <w:jc w:val="left"/>
        <w:rPr>
          <w:rFonts w:ascii="Times New Roman" w:hAnsi="Times New Roman" w:cs="Times New Roman" w:eastAsiaTheme="minorEastAsia"/>
          <w:color w:val="auto"/>
          <w:sz w:val="24"/>
          <w:szCs w:val="24"/>
        </w:rPr>
      </w:pPr>
      <w:r>
        <w:rPr>
          <w:rFonts w:ascii="Times New Roman" w:hAnsi="Times New Roman" w:cs="Times New Roman" w:eastAsiaTheme="minorEastAsia"/>
          <w:color w:val="auto"/>
          <w:sz w:val="24"/>
          <w:szCs w:val="24"/>
        </w:rPr>
        <w:t>本项目厂界四周颗粒物、丁醇、挥发性有机物和乙酸丁酯的浓度均符合《大气污染物综合排放标准》（GB16297-1996）表2中无组织排放监控浓度值。</w:t>
      </w:r>
    </w:p>
    <w:p>
      <w:pPr>
        <w:spacing w:line="360" w:lineRule="auto"/>
        <w:outlineLvl w:val="2"/>
        <w:rPr>
          <w:rFonts w:ascii="Times New Roman" w:hAnsi="Times New Roman" w:cs="Times New Roman"/>
          <w:b/>
          <w:color w:val="000000" w:themeColor="text1"/>
          <w:sz w:val="24"/>
          <w14:textFill>
            <w14:solidFill>
              <w14:schemeClr w14:val="tx1"/>
            </w14:solidFill>
          </w14:textFill>
        </w:rPr>
      </w:pPr>
      <w:bookmarkStart w:id="402" w:name="_Toc21008"/>
      <w:r>
        <w:rPr>
          <w:rFonts w:ascii="Times New Roman" w:hAnsi="Times New Roman" w:cs="Times New Roman"/>
          <w:b/>
          <w:color w:val="000000" w:themeColor="text1"/>
          <w:sz w:val="24"/>
          <w14:textFill>
            <w14:solidFill>
              <w14:schemeClr w14:val="tx1"/>
            </w14:solidFill>
          </w14:textFill>
        </w:rPr>
        <w:t>11.</w:t>
      </w:r>
      <w:r>
        <w:rPr>
          <w:rFonts w:hint="eastAsia" w:ascii="Times New Roman" w:hAnsi="Times New Roman" w:cs="Times New Roman"/>
          <w:b/>
          <w:color w:val="000000" w:themeColor="text1"/>
          <w:sz w:val="24"/>
          <w14:textFill>
            <w14:solidFill>
              <w14:schemeClr w14:val="tx1"/>
            </w14:solidFill>
          </w14:textFill>
        </w:rPr>
        <w:t>2</w:t>
      </w:r>
      <w:r>
        <w:rPr>
          <w:rFonts w:ascii="Times New Roman" w:hAnsi="Times New Roman" w:cs="Times New Roman"/>
          <w:b/>
          <w:color w:val="000000" w:themeColor="text1"/>
          <w:sz w:val="24"/>
          <w14:textFill>
            <w14:solidFill>
              <w14:schemeClr w14:val="tx1"/>
            </w14:solidFill>
          </w14:textFill>
        </w:rPr>
        <w:t>.3噪声</w:t>
      </w:r>
      <w:bookmarkEnd w:id="402"/>
    </w:p>
    <w:p>
      <w:pPr>
        <w:spacing w:line="360" w:lineRule="auto"/>
        <w:ind w:firstLine="480" w:firstLineChars="200"/>
        <w:rPr>
          <w:rFonts w:ascii="Times New Roman" w:hAnsi="Times New Roman" w:eastAsia="宋体" w:cs="Times New Roman"/>
          <w:color w:val="000000" w:themeColor="text1"/>
          <w:sz w:val="24"/>
          <w14:textFill>
            <w14:solidFill>
              <w14:schemeClr w14:val="tx1"/>
            </w14:solidFill>
          </w14:textFill>
        </w:rPr>
      </w:pPr>
      <w:r>
        <w:rPr>
          <w:rFonts w:ascii="Times New Roman" w:hAnsi="Times New Roman" w:eastAsia="宋体" w:cs="Times New Roman"/>
          <w:color w:val="000000" w:themeColor="text1"/>
          <w:sz w:val="24"/>
          <w14:textFill>
            <w14:solidFill>
              <w14:schemeClr w14:val="tx1"/>
            </w14:solidFill>
          </w14:textFill>
        </w:rPr>
        <w:t>厂界噪声测点昼间</w:t>
      </w:r>
      <w:r>
        <w:rPr>
          <w:rFonts w:hint="eastAsia" w:cs="Times New Roman"/>
          <w:color w:val="000000" w:themeColor="text1"/>
          <w:sz w:val="24"/>
          <w14:textFill>
            <w14:solidFill>
              <w14:schemeClr w14:val="tx1"/>
            </w14:solidFill>
          </w14:textFill>
        </w:rPr>
        <w:t>、夜间</w:t>
      </w:r>
      <w:r>
        <w:rPr>
          <w:rFonts w:ascii="Times New Roman" w:hAnsi="Times New Roman" w:eastAsia="宋体" w:cs="Times New Roman"/>
          <w:color w:val="000000" w:themeColor="text1"/>
          <w:sz w:val="24"/>
          <w14:textFill>
            <w14:solidFill>
              <w14:schemeClr w14:val="tx1"/>
            </w14:solidFill>
          </w14:textFill>
        </w:rPr>
        <w:t>等效声级均</w:t>
      </w:r>
      <w:r>
        <w:rPr>
          <w:rFonts w:ascii="Times New Roman" w:hAnsi="Times New Roman" w:cs="Times New Roman"/>
          <w:color w:val="000000" w:themeColor="text1"/>
          <w:sz w:val="24"/>
          <w14:textFill>
            <w14:solidFill>
              <w14:schemeClr w14:val="tx1"/>
            </w14:solidFill>
          </w14:textFill>
        </w:rPr>
        <w:t>符合</w:t>
      </w:r>
      <w:r>
        <w:rPr>
          <w:rFonts w:ascii="Times New Roman" w:hAnsi="Times New Roman" w:eastAsia="宋体" w:cs="Times New Roman"/>
          <w:color w:val="000000" w:themeColor="text1"/>
          <w:sz w:val="24"/>
          <w14:textFill>
            <w14:solidFill>
              <w14:schemeClr w14:val="tx1"/>
            </w14:solidFill>
          </w14:textFill>
        </w:rPr>
        <w:t>《工业企业厂界环境噪声排放标准》（GB12348-2008）中3类标准值要求。</w:t>
      </w:r>
    </w:p>
    <w:p>
      <w:pPr>
        <w:spacing w:line="360" w:lineRule="auto"/>
        <w:outlineLvl w:val="2"/>
        <w:rPr>
          <w:rFonts w:ascii="Times New Roman" w:hAnsi="Times New Roman" w:cs="Times New Roman"/>
          <w:b/>
          <w:color w:val="000000" w:themeColor="text1"/>
          <w:sz w:val="24"/>
          <w14:textFill>
            <w14:solidFill>
              <w14:schemeClr w14:val="tx1"/>
            </w14:solidFill>
          </w14:textFill>
        </w:rPr>
      </w:pPr>
      <w:bookmarkStart w:id="403" w:name="_Toc10273"/>
      <w:r>
        <w:rPr>
          <w:rFonts w:ascii="Times New Roman" w:hAnsi="Times New Roman" w:cs="Times New Roman"/>
          <w:b/>
          <w:color w:val="000000" w:themeColor="text1"/>
          <w:sz w:val="24"/>
          <w14:textFill>
            <w14:solidFill>
              <w14:schemeClr w14:val="tx1"/>
            </w14:solidFill>
          </w14:textFill>
        </w:rPr>
        <w:t>11.</w:t>
      </w:r>
      <w:r>
        <w:rPr>
          <w:rFonts w:hint="eastAsia" w:ascii="Times New Roman" w:hAnsi="Times New Roman" w:cs="Times New Roman"/>
          <w:b/>
          <w:color w:val="000000" w:themeColor="text1"/>
          <w:sz w:val="24"/>
          <w14:textFill>
            <w14:solidFill>
              <w14:schemeClr w14:val="tx1"/>
            </w14:solidFill>
          </w14:textFill>
        </w:rPr>
        <w:t>2</w:t>
      </w:r>
      <w:r>
        <w:rPr>
          <w:rFonts w:ascii="Times New Roman" w:hAnsi="Times New Roman" w:cs="Times New Roman"/>
          <w:b/>
          <w:color w:val="000000" w:themeColor="text1"/>
          <w:sz w:val="24"/>
          <w14:textFill>
            <w14:solidFill>
              <w14:schemeClr w14:val="tx1"/>
            </w14:solidFill>
          </w14:textFill>
        </w:rPr>
        <w:t>.4固体废物</w:t>
      </w:r>
      <w:bookmarkEnd w:id="403"/>
    </w:p>
    <w:p>
      <w:pPr>
        <w:spacing w:line="500" w:lineRule="exact"/>
        <w:ind w:firstLine="480" w:firstLineChars="200"/>
        <w:rPr>
          <w:rFonts w:asciiTheme="minorEastAsia" w:hAnsiTheme="minorEastAsia" w:cstheme="minorEastAsia"/>
          <w:bCs/>
          <w:color w:val="auto"/>
          <w:sz w:val="24"/>
        </w:rPr>
      </w:pPr>
      <w:r>
        <w:rPr>
          <w:rFonts w:hint="eastAsia" w:asciiTheme="minorEastAsia" w:hAnsiTheme="minorEastAsia" w:cstheme="minorEastAsia"/>
          <w:bCs/>
          <w:color w:val="auto"/>
          <w:sz w:val="24"/>
        </w:rPr>
        <w:t>漆渣属于危险废物，收集在</w:t>
      </w:r>
      <w:r>
        <w:rPr>
          <w:rFonts w:hint="eastAsia" w:asciiTheme="minorEastAsia" w:hAnsiTheme="minorEastAsia" w:cstheme="minorEastAsia"/>
          <w:bCs/>
          <w:color w:val="auto"/>
          <w:sz w:val="24"/>
          <w:lang w:val="en-US" w:eastAsia="zh-CN"/>
        </w:rPr>
        <w:t>吨袋</w:t>
      </w:r>
      <w:r>
        <w:rPr>
          <w:rFonts w:hint="eastAsia" w:asciiTheme="minorEastAsia" w:hAnsiTheme="minorEastAsia" w:cstheme="minorEastAsia"/>
          <w:bCs/>
          <w:color w:val="auto"/>
          <w:sz w:val="24"/>
        </w:rPr>
        <w:t>内，暂存</w:t>
      </w:r>
      <w:r>
        <w:rPr>
          <w:rFonts w:hint="eastAsia" w:asciiTheme="minorEastAsia" w:hAnsiTheme="minorEastAsia" w:cstheme="minorEastAsia"/>
          <w:bCs/>
          <w:color w:val="auto"/>
          <w:sz w:val="24"/>
          <w:lang w:val="en-US" w:eastAsia="zh-CN"/>
        </w:rPr>
        <w:t>于</w:t>
      </w:r>
      <w:r>
        <w:rPr>
          <w:rFonts w:hint="eastAsia" w:asciiTheme="minorEastAsia" w:hAnsiTheme="minorEastAsia" w:cstheme="minorEastAsia"/>
          <w:bCs/>
          <w:color w:val="auto"/>
          <w:sz w:val="24"/>
        </w:rPr>
        <w:t>危废</w:t>
      </w:r>
      <w:r>
        <w:rPr>
          <w:rFonts w:hint="eastAsia" w:asciiTheme="minorEastAsia" w:hAnsiTheme="minorEastAsia" w:cstheme="minorEastAsia"/>
          <w:bCs/>
          <w:color w:val="auto"/>
          <w:sz w:val="24"/>
          <w:lang w:val="en-US" w:eastAsia="zh-CN"/>
        </w:rPr>
        <w:t>仓库</w:t>
      </w:r>
      <w:r>
        <w:rPr>
          <w:rFonts w:hint="eastAsia" w:asciiTheme="minorEastAsia" w:hAnsiTheme="minorEastAsia" w:cstheme="minorEastAsia"/>
          <w:bCs/>
          <w:color w:val="auto"/>
          <w:sz w:val="24"/>
        </w:rPr>
        <w:t>，委托镇江新宇固体废物处置有限公司安全处置</w:t>
      </w:r>
      <w:r>
        <w:rPr>
          <w:rFonts w:hint="eastAsia" w:asciiTheme="minorEastAsia" w:hAnsiTheme="minorEastAsia" w:cstheme="minorEastAsia"/>
          <w:bCs/>
          <w:color w:val="auto"/>
          <w:sz w:val="24"/>
          <w:lang w:val="en-US" w:eastAsia="zh-CN"/>
        </w:rPr>
        <w:t>，</w:t>
      </w:r>
      <w:r>
        <w:rPr>
          <w:rFonts w:hint="eastAsia" w:asciiTheme="minorEastAsia" w:hAnsiTheme="minorEastAsia" w:cstheme="minorEastAsia"/>
          <w:bCs/>
          <w:color w:val="auto"/>
          <w:sz w:val="24"/>
        </w:rPr>
        <w:t>废过滤毡</w:t>
      </w:r>
      <w:r>
        <w:rPr>
          <w:rFonts w:hint="eastAsia" w:asciiTheme="minorEastAsia" w:hAnsiTheme="minorEastAsia" w:cstheme="minorEastAsia"/>
          <w:bCs/>
          <w:color w:val="auto"/>
          <w:sz w:val="24"/>
          <w:lang w:eastAsia="zh-CN"/>
        </w:rPr>
        <w:t>、</w:t>
      </w:r>
      <w:r>
        <w:rPr>
          <w:rFonts w:hint="eastAsia" w:asciiTheme="minorEastAsia" w:hAnsiTheme="minorEastAsia" w:cstheme="minorEastAsia"/>
          <w:bCs/>
          <w:color w:val="auto"/>
          <w:sz w:val="24"/>
        </w:rPr>
        <w:t>废油漆桶定期委托</w:t>
      </w:r>
      <w:r>
        <w:rPr>
          <w:rFonts w:hint="eastAsia" w:asciiTheme="minorEastAsia" w:hAnsiTheme="minorEastAsia" w:cstheme="minorEastAsia"/>
          <w:bCs/>
          <w:color w:val="auto"/>
          <w:sz w:val="24"/>
          <w:lang w:eastAsia="zh-CN"/>
        </w:rPr>
        <w:t>江苏鼎范环保服务有限公司</w:t>
      </w:r>
      <w:r>
        <w:rPr>
          <w:rFonts w:hint="eastAsia" w:asciiTheme="minorEastAsia" w:hAnsiTheme="minorEastAsia" w:cstheme="minorEastAsia"/>
          <w:bCs/>
          <w:color w:val="auto"/>
          <w:sz w:val="24"/>
        </w:rPr>
        <w:t>安全处置；废钢丸、除尘灰、废包装材料作废品出售或由相关单位回收；生活垃圾委托环卫部门统一处理。</w:t>
      </w:r>
    </w:p>
    <w:p>
      <w:pPr>
        <w:spacing w:line="360" w:lineRule="auto"/>
        <w:outlineLvl w:val="2"/>
        <w:rPr>
          <w:rFonts w:ascii="Times New Roman" w:hAnsi="Times New Roman" w:cs="Times New Roman"/>
          <w:b/>
          <w:color w:val="000000" w:themeColor="text1"/>
          <w:sz w:val="24"/>
          <w14:textFill>
            <w14:solidFill>
              <w14:schemeClr w14:val="tx1"/>
            </w14:solidFill>
          </w14:textFill>
        </w:rPr>
      </w:pPr>
      <w:bookmarkStart w:id="404" w:name="_Toc19660"/>
      <w:r>
        <w:rPr>
          <w:rFonts w:ascii="Times New Roman" w:hAnsi="Times New Roman" w:cs="Times New Roman"/>
          <w:b/>
          <w:color w:val="000000" w:themeColor="text1"/>
          <w:sz w:val="24"/>
          <w14:textFill>
            <w14:solidFill>
              <w14:schemeClr w14:val="tx1"/>
            </w14:solidFill>
          </w14:textFill>
        </w:rPr>
        <w:t>11.</w:t>
      </w:r>
      <w:r>
        <w:rPr>
          <w:rFonts w:hint="eastAsia" w:ascii="Times New Roman" w:hAnsi="Times New Roman" w:cs="Times New Roman"/>
          <w:b/>
          <w:color w:val="000000" w:themeColor="text1"/>
          <w:sz w:val="24"/>
          <w14:textFill>
            <w14:solidFill>
              <w14:schemeClr w14:val="tx1"/>
            </w14:solidFill>
          </w14:textFill>
        </w:rPr>
        <w:t>2</w:t>
      </w:r>
      <w:r>
        <w:rPr>
          <w:rFonts w:ascii="Times New Roman" w:hAnsi="Times New Roman" w:cs="Times New Roman"/>
          <w:b/>
          <w:color w:val="000000" w:themeColor="text1"/>
          <w:sz w:val="24"/>
          <w14:textFill>
            <w14:solidFill>
              <w14:schemeClr w14:val="tx1"/>
            </w14:solidFill>
          </w14:textFill>
        </w:rPr>
        <w:t>.5总量控制情况</w:t>
      </w:r>
      <w:bookmarkEnd w:id="404"/>
    </w:p>
    <w:p>
      <w:pPr>
        <w:spacing w:line="360" w:lineRule="auto"/>
        <w:ind w:firstLine="480" w:firstLineChars="200"/>
        <w:rPr>
          <w:rFonts w:ascii="Times New Roman" w:hAnsi="Times New Roman" w:eastAsia="宋体" w:cs="Times New Roman"/>
          <w:color w:val="000000" w:themeColor="text1"/>
          <w:sz w:val="24"/>
          <w14:textFill>
            <w14:solidFill>
              <w14:schemeClr w14:val="tx1"/>
            </w14:solidFill>
          </w14:textFill>
        </w:rPr>
      </w:pPr>
      <w:r>
        <w:rPr>
          <w:rFonts w:hint="eastAsia" w:ascii="Times New Roman" w:hAnsi="Times New Roman" w:eastAsia="宋体" w:cs="Times New Roman"/>
          <w:color w:val="000000" w:themeColor="text1"/>
          <w:sz w:val="24"/>
          <w14:textFill>
            <w14:solidFill>
              <w14:schemeClr w14:val="tx1"/>
            </w14:solidFill>
          </w14:textFill>
        </w:rPr>
        <w:t>生产废水：本项目中的化学需氧量</w:t>
      </w:r>
      <w:r>
        <w:rPr>
          <w:rFonts w:hint="eastAsia" w:ascii="Times New Roman" w:hAnsi="Times New Roman" w:eastAsia="宋体" w:cs="Times New Roman"/>
          <w:color w:val="000000" w:themeColor="text1"/>
          <w:sz w:val="24"/>
          <w:lang w:eastAsia="zh-CN"/>
          <w14:textFill>
            <w14:solidFill>
              <w14:schemeClr w14:val="tx1"/>
            </w14:solidFill>
          </w14:textFill>
        </w:rPr>
        <w:t>、</w:t>
      </w:r>
      <w:r>
        <w:rPr>
          <w:rFonts w:hint="eastAsia" w:ascii="Times New Roman" w:hAnsi="Times New Roman" w:eastAsia="宋体" w:cs="Times New Roman"/>
          <w:color w:val="000000" w:themeColor="text1"/>
          <w:sz w:val="24"/>
          <w14:textFill>
            <w14:solidFill>
              <w14:schemeClr w14:val="tx1"/>
            </w14:solidFill>
          </w14:textFill>
        </w:rPr>
        <w:t>悬浮物</w:t>
      </w:r>
      <w:r>
        <w:rPr>
          <w:rFonts w:hint="eastAsia" w:ascii="Times New Roman" w:hAnsi="Times New Roman" w:eastAsia="宋体" w:cs="Times New Roman"/>
          <w:color w:val="000000" w:themeColor="text1"/>
          <w:sz w:val="24"/>
          <w:lang w:val="en-US" w:eastAsia="zh-CN"/>
          <w14:textFill>
            <w14:solidFill>
              <w14:schemeClr w14:val="tx1"/>
            </w14:solidFill>
          </w14:textFill>
        </w:rPr>
        <w:t>和石油类</w:t>
      </w:r>
      <w:r>
        <w:rPr>
          <w:rFonts w:hint="eastAsia" w:ascii="Times New Roman" w:hAnsi="Times New Roman" w:eastAsia="宋体" w:cs="Times New Roman"/>
          <w:color w:val="000000" w:themeColor="text1"/>
          <w:sz w:val="24"/>
          <w14:textFill>
            <w14:solidFill>
              <w14:schemeClr w14:val="tx1"/>
            </w14:solidFill>
          </w14:textFill>
        </w:rPr>
        <w:t>的排放量均符合批复</w:t>
      </w:r>
      <w:r>
        <w:rPr>
          <w:rFonts w:ascii="Times New Roman" w:hAnsi="Times New Roman" w:eastAsia="宋体" w:cs="Times New Roman"/>
          <w:color w:val="000000" w:themeColor="text1"/>
          <w:sz w:val="24"/>
          <w14:textFill>
            <w14:solidFill>
              <w14:schemeClr w14:val="tx1"/>
            </w14:solidFill>
          </w14:textFill>
        </w:rPr>
        <w:t>的污染物排放总量控制指标要求。</w:t>
      </w:r>
    </w:p>
    <w:p>
      <w:pPr>
        <w:spacing w:line="360" w:lineRule="auto"/>
        <w:ind w:firstLine="480" w:firstLineChars="200"/>
        <w:rPr>
          <w:rFonts w:ascii="Times New Roman" w:hAnsi="Times New Roman" w:eastAsia="宋体" w:cs="Times New Roman"/>
          <w:color w:val="000000" w:themeColor="text1"/>
          <w:sz w:val="24"/>
          <w14:textFill>
            <w14:solidFill>
              <w14:schemeClr w14:val="tx1"/>
            </w14:solidFill>
          </w14:textFill>
        </w:rPr>
      </w:pPr>
      <w:r>
        <w:rPr>
          <w:rFonts w:hint="eastAsia" w:ascii="Times New Roman" w:hAnsi="Times New Roman" w:eastAsia="宋体" w:cs="Times New Roman"/>
          <w:color w:val="000000" w:themeColor="text1"/>
          <w:sz w:val="24"/>
          <w14:textFill>
            <w14:solidFill>
              <w14:schemeClr w14:val="tx1"/>
            </w14:solidFill>
          </w14:textFill>
        </w:rPr>
        <w:t>生活污水：本项目中的化学需氧量、悬浮物、氨氮、总磷和动植物油的排放量均符合批复</w:t>
      </w:r>
      <w:r>
        <w:rPr>
          <w:rFonts w:ascii="Times New Roman" w:hAnsi="Times New Roman" w:eastAsia="宋体" w:cs="Times New Roman"/>
          <w:color w:val="000000" w:themeColor="text1"/>
          <w:sz w:val="24"/>
          <w14:textFill>
            <w14:solidFill>
              <w14:schemeClr w14:val="tx1"/>
            </w14:solidFill>
          </w14:textFill>
        </w:rPr>
        <w:t>的污染物排放总量控制指标要求。</w:t>
      </w:r>
    </w:p>
    <w:p>
      <w:pPr>
        <w:spacing w:line="360" w:lineRule="auto"/>
        <w:ind w:firstLine="480" w:firstLineChars="200"/>
        <w:rPr>
          <w:rFonts w:ascii="Times New Roman" w:hAnsi="Times New Roman" w:eastAsia="宋体" w:cs="Times New Roman"/>
          <w:color w:val="000000" w:themeColor="text1"/>
          <w:sz w:val="24"/>
          <w14:textFill>
            <w14:solidFill>
              <w14:schemeClr w14:val="tx1"/>
            </w14:solidFill>
          </w14:textFill>
        </w:rPr>
      </w:pPr>
      <w:r>
        <w:rPr>
          <w:rFonts w:ascii="Times New Roman" w:hAnsi="Times New Roman" w:eastAsia="宋体" w:cs="Times New Roman"/>
          <w:color w:val="000000" w:themeColor="text1"/>
          <w:sz w:val="24"/>
          <w14:textFill>
            <w14:solidFill>
              <w14:schemeClr w14:val="tx1"/>
            </w14:solidFill>
          </w14:textFill>
        </w:rPr>
        <w:t>废气</w:t>
      </w:r>
      <w:r>
        <w:rPr>
          <w:rFonts w:ascii="Times New Roman" w:hAnsi="Times New Roman" w:cs="Times New Roman"/>
          <w:color w:val="000000" w:themeColor="text1"/>
          <w:sz w:val="24"/>
          <w14:textFill>
            <w14:solidFill>
              <w14:schemeClr w14:val="tx1"/>
            </w14:solidFill>
          </w14:textFill>
        </w:rPr>
        <w:t>：本项目</w:t>
      </w:r>
      <w:r>
        <w:rPr>
          <w:rFonts w:hint="eastAsia" w:ascii="Times New Roman" w:hAnsi="Times New Roman" w:cs="Times New Roman"/>
          <w:color w:val="000000" w:themeColor="text1"/>
          <w:sz w:val="24"/>
          <w14:textFill>
            <w14:solidFill>
              <w14:schemeClr w14:val="tx1"/>
            </w14:solidFill>
          </w14:textFill>
        </w:rPr>
        <w:t>中的二氧化硫、氮氧化物、颗粒物和挥发性有机物的</w:t>
      </w:r>
      <w:r>
        <w:rPr>
          <w:rFonts w:ascii="Times New Roman" w:hAnsi="Times New Roman" w:eastAsia="宋体" w:cs="Times New Roman"/>
          <w:color w:val="000000" w:themeColor="text1"/>
          <w:sz w:val="24"/>
          <w14:textFill>
            <w14:solidFill>
              <w14:schemeClr w14:val="tx1"/>
            </w14:solidFill>
          </w14:textFill>
        </w:rPr>
        <w:t>年排放总量</w:t>
      </w:r>
      <w:r>
        <w:rPr>
          <w:rFonts w:ascii="Times New Roman" w:hAnsi="Times New Roman" w:cs="Times New Roman"/>
          <w:color w:val="000000" w:themeColor="text1"/>
          <w:sz w:val="24"/>
          <w14:textFill>
            <w14:solidFill>
              <w14:schemeClr w14:val="tx1"/>
            </w14:solidFill>
          </w14:textFill>
        </w:rPr>
        <w:t>均符合</w:t>
      </w:r>
      <w:r>
        <w:rPr>
          <w:rFonts w:hint="eastAsia" w:ascii="Times New Roman" w:hAnsi="Times New Roman" w:eastAsia="宋体" w:cs="Times New Roman"/>
          <w:color w:val="000000" w:themeColor="text1"/>
          <w:sz w:val="24"/>
          <w14:textFill>
            <w14:solidFill>
              <w14:schemeClr w14:val="tx1"/>
            </w14:solidFill>
          </w14:textFill>
        </w:rPr>
        <w:t>批复</w:t>
      </w:r>
      <w:r>
        <w:rPr>
          <w:rFonts w:ascii="Times New Roman" w:hAnsi="Times New Roman" w:eastAsia="宋体" w:cs="Times New Roman"/>
          <w:color w:val="000000" w:themeColor="text1"/>
          <w:sz w:val="24"/>
          <w14:textFill>
            <w14:solidFill>
              <w14:schemeClr w14:val="tx1"/>
            </w14:solidFill>
          </w14:textFill>
        </w:rPr>
        <w:t>的污染物排放总量控制指标要求。</w:t>
      </w:r>
    </w:p>
    <w:p>
      <w:pPr>
        <w:pStyle w:val="9"/>
        <w:spacing w:line="360" w:lineRule="auto"/>
        <w:ind w:left="0"/>
        <w:jc w:val="left"/>
        <w:outlineLvl w:val="1"/>
        <w:rPr>
          <w:rFonts w:ascii="Times New Roman" w:hAnsi="Times New Roman" w:cs="Times New Roman" w:eastAsiaTheme="minorEastAsia"/>
          <w:b/>
          <w:color w:val="000000" w:themeColor="text1"/>
          <w:sz w:val="24"/>
          <w:szCs w:val="24"/>
          <w14:textFill>
            <w14:solidFill>
              <w14:schemeClr w14:val="tx1"/>
            </w14:solidFill>
          </w14:textFill>
        </w:rPr>
      </w:pPr>
      <w:bookmarkStart w:id="405" w:name="_Toc20450"/>
      <w:r>
        <w:rPr>
          <w:rFonts w:ascii="Times New Roman" w:hAnsi="Times New Roman" w:cs="Times New Roman" w:eastAsiaTheme="minorEastAsia"/>
          <w:b/>
          <w:color w:val="000000" w:themeColor="text1"/>
          <w:sz w:val="24"/>
          <w:szCs w:val="24"/>
          <w14:textFill>
            <w14:solidFill>
              <w14:schemeClr w14:val="tx1"/>
            </w14:solidFill>
          </w14:textFill>
        </w:rPr>
        <w:t>11.</w:t>
      </w:r>
      <w:r>
        <w:rPr>
          <w:rFonts w:hint="eastAsia" w:ascii="Times New Roman" w:hAnsi="Times New Roman" w:cs="Times New Roman" w:eastAsiaTheme="minorEastAsia"/>
          <w:b/>
          <w:color w:val="000000" w:themeColor="text1"/>
          <w:sz w:val="24"/>
          <w:szCs w:val="24"/>
          <w14:textFill>
            <w14:solidFill>
              <w14:schemeClr w14:val="tx1"/>
            </w14:solidFill>
          </w14:textFill>
        </w:rPr>
        <w:t>3</w:t>
      </w:r>
      <w:r>
        <w:rPr>
          <w:rFonts w:ascii="Times New Roman" w:hAnsi="Times New Roman" w:cs="Times New Roman" w:eastAsiaTheme="minorEastAsia"/>
          <w:b/>
          <w:color w:val="000000" w:themeColor="text1"/>
          <w:sz w:val="24"/>
          <w:szCs w:val="24"/>
          <w14:textFill>
            <w14:solidFill>
              <w14:schemeClr w14:val="tx1"/>
            </w14:solidFill>
          </w14:textFill>
        </w:rPr>
        <w:t>建议</w:t>
      </w:r>
      <w:bookmarkEnd w:id="398"/>
      <w:bookmarkEnd w:id="405"/>
    </w:p>
    <w:p>
      <w:pPr>
        <w:spacing w:line="360" w:lineRule="auto"/>
        <w:ind w:firstLine="480" w:firstLineChars="200"/>
        <w:rPr>
          <w:rFonts w:ascii="Times New Roman" w:hAnsi="Times New Roman" w:eastAsia="宋体" w:cs="Times New Roman"/>
          <w:bCs/>
          <w:snapToGrid w:val="0"/>
          <w:sz w:val="24"/>
        </w:rPr>
      </w:pPr>
      <w:r>
        <w:rPr>
          <w:rFonts w:hint="eastAsia" w:ascii="Times New Roman" w:hAnsi="Times New Roman" w:eastAsia="宋体" w:cs="Times New Roman"/>
          <w:bCs/>
          <w:snapToGrid w:val="0"/>
          <w:sz w:val="24"/>
        </w:rPr>
        <w:t>（1）</w:t>
      </w:r>
      <w:r>
        <w:rPr>
          <w:rFonts w:ascii="Times New Roman" w:hAnsi="Times New Roman" w:eastAsia="宋体" w:cs="Times New Roman"/>
          <w:bCs/>
          <w:snapToGrid w:val="0"/>
          <w:sz w:val="24"/>
        </w:rPr>
        <w:t>废水、废气处理设施严格按照管理规程执行，做好相关记录，确保处理设施长期有效运作；</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bCs/>
          <w:snapToGrid w:val="0"/>
          <w:sz w:val="24"/>
        </w:rPr>
        <w:t>（2）</w:t>
      </w:r>
      <w:r>
        <w:rPr>
          <w:rFonts w:ascii="Times New Roman" w:hAnsi="Times New Roman" w:eastAsia="宋体" w:cs="Times New Roman"/>
          <w:bCs/>
          <w:snapToGrid w:val="0"/>
          <w:sz w:val="24"/>
        </w:rPr>
        <w:t>按《危险废物贮存污染物控制标准》（GB18597-2001）和《一般工业固体废物贮存、处置场污染控制标准》（GB18599-2001）中相关要求，加强危险废物的管理，禁止危险废物丢弃，确保危险废物零排放，严格按照《关于建设项目竣工环境保护验收有关事项的通知》（苏环办[2018]34号）文要求办理相关手续；</w:t>
      </w:r>
    </w:p>
    <w:p>
      <w:pPr>
        <w:spacing w:line="360" w:lineRule="auto"/>
        <w:ind w:firstLine="480" w:firstLineChars="200"/>
        <w:rPr>
          <w:rFonts w:ascii="Times New Roman" w:hAnsi="Times New Roman" w:eastAsia="宋体" w:cs="Times New Roman"/>
          <w:bCs/>
          <w:snapToGrid w:val="0"/>
          <w:sz w:val="24"/>
        </w:rPr>
      </w:pPr>
      <w:r>
        <w:rPr>
          <w:rFonts w:hint="eastAsia" w:ascii="Times New Roman" w:hAnsi="Times New Roman" w:eastAsia="宋体" w:cs="Times New Roman"/>
          <w:bCs/>
          <w:snapToGrid w:val="0"/>
          <w:sz w:val="24"/>
        </w:rPr>
        <w:t>（3）</w:t>
      </w:r>
      <w:r>
        <w:rPr>
          <w:rFonts w:ascii="Times New Roman" w:hAnsi="Times New Roman" w:eastAsia="宋体" w:cs="Times New Roman"/>
          <w:bCs/>
          <w:snapToGrid w:val="0"/>
          <w:sz w:val="24"/>
        </w:rPr>
        <w:t>建设单位严格执行环评及批复要求，不得设置与本项目无关的生产工序，当项目生产工艺、产品及产量有变化时，请及时报告管理部门；</w:t>
      </w:r>
    </w:p>
    <w:p>
      <w:pPr>
        <w:keepNext/>
        <w:spacing w:line="360" w:lineRule="auto"/>
        <w:ind w:firstLine="480" w:firstLineChars="200"/>
        <w:rPr>
          <w:sz w:val="24"/>
        </w:rPr>
      </w:pPr>
      <w:r>
        <w:rPr>
          <w:rFonts w:hint="eastAsia" w:ascii="Times New Roman" w:hAnsi="Times New Roman" w:eastAsia="宋体" w:cs="Times New Roman"/>
          <w:bCs/>
          <w:snapToGrid w:val="0"/>
          <w:sz w:val="24"/>
        </w:rPr>
        <w:t>（4）</w:t>
      </w:r>
      <w:r>
        <w:rPr>
          <w:rFonts w:ascii="Times New Roman" w:hAnsi="Times New Roman" w:eastAsia="宋体" w:cs="Times New Roman"/>
          <w:bCs/>
          <w:snapToGrid w:val="0"/>
          <w:sz w:val="24"/>
        </w:rPr>
        <w:t>本次验收仅对验收监测期间数据、现场检查情况负责，建设单位需要继续完善环保管理制度、管理措施，落实长效管理，定期对环保设施做相关监测，确保符合环保相关法律法规要求。</w:t>
      </w:r>
    </w:p>
    <w:p>
      <w:pPr>
        <w:widowControl/>
        <w:spacing w:line="360" w:lineRule="auto"/>
        <w:jc w:val="left"/>
        <w:rPr>
          <w:sz w:val="24"/>
        </w:rPr>
      </w:pPr>
    </w:p>
    <w:sectPr>
      <w:footerReference r:id="rId7"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微软雅黑">
    <w:panose1 w:val="020B0503020204020204"/>
    <w:charset w:val="86"/>
    <w:family w:val="swiss"/>
    <w:pitch w:val="default"/>
    <w:sig w:usb0="80000287" w:usb1="2ACF3C50" w:usb2="00000016" w:usb3="00000000" w:csb0="0004001F" w:csb1="00000000"/>
  </w:font>
  <w:font w:name="华文楷体">
    <w:panose1 w:val="02010600040101010101"/>
    <w:charset w:val="86"/>
    <w:family w:val="auto"/>
    <w:pitch w:val="default"/>
    <w:sig w:usb0="00000287" w:usb1="080F0000" w:usb2="00000000" w:usb3="00000000" w:csb0="0004009F" w:csb1="DFD70000"/>
  </w:font>
  <w:font w:name="楷体">
    <w:panose1 w:val="02010609060101010101"/>
    <w:charset w:val="86"/>
    <w:family w:val="auto"/>
    <w:pitch w:val="default"/>
    <w:sig w:usb0="800002BF" w:usb1="38CF7CFA" w:usb2="00000016" w:usb3="00000000" w:csb0="00040001" w:csb1="00000000"/>
  </w:font>
  <w:font w:name="Calibri Light">
    <w:panose1 w:val="020F03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pPr>
                            <w:pStyle w:val="15"/>
                          </w:pPr>
                          <w:r>
                            <w:fldChar w:fldCharType="begin"/>
                          </w:r>
                          <w:r>
                            <w:instrText xml:space="preserve"> PAGE  \* MERGEFORMAT </w:instrText>
                          </w:r>
                          <w:r>
                            <w:fldChar w:fldCharType="separate"/>
                          </w:r>
                          <w:r>
                            <w:t>2</w:t>
                          </w:r>
                          <w:r>
                            <w:fldChar w:fldCharType="end"/>
                          </w:r>
                        </w:p>
                      </w:txbxContent>
                    </wps:txbx>
                    <wps:bodyPr wrap="none" lIns="0" tIns="0" rIns="0" bIns="0">
                      <a:spAutoFit/>
                    </wps:bodyPr>
                  </wps:wsp>
                </a:graphicData>
              </a:graphic>
            </wp:anchor>
          </w:drawing>
        </mc:Choice>
        <mc:Fallback>
          <w:pict>
            <v:shape id="文本框 9"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M6pebnP&#10;AAAABQEAAA8AAAAAAAAAAQAgAAAAIgAAAGRycy9kb3ducmV2LnhtbFBLAQIUABQAAAAIAIdO4kA/&#10;ehpbtwEAAFgDAAAOAAAAAAAAAAEAIAAAAB4BAABkcnMvZTJvRG9jLnhtbFBLBQYAAAAABgAGAFkB&#10;AABHBQAAAAA=&#10;">
              <v:fill on="f" focussize="0,0"/>
              <v:stroke on="f"/>
              <v:imagedata o:title=""/>
              <o:lock v:ext="edit" aspectratio="f"/>
              <v:textbox inset="0mm,0mm,0mm,0mm" style="mso-fit-shape-to-text:t;">
                <w:txbxContent>
                  <w:p>
                    <w:pPr>
                      <w:pStyle w:val="15"/>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5"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pPr>
                            <w:pStyle w:val="15"/>
                          </w:pPr>
                          <w:r>
                            <w:fldChar w:fldCharType="begin"/>
                          </w:r>
                          <w:r>
                            <w:instrText xml:space="preserve"> PAGE  \* MERGEFORMAT </w:instrText>
                          </w:r>
                          <w:r>
                            <w:fldChar w:fldCharType="separate"/>
                          </w:r>
                          <w:r>
                            <w:t>3</w:t>
                          </w:r>
                          <w:r>
                            <w:fldChar w:fldCharType="end"/>
                          </w:r>
                        </w:p>
                      </w:txbxContent>
                    </wps:txbx>
                    <wps:bodyPr wrap="none" lIns="0" tIns="0" rIns="0" bIns="0">
                      <a:spAutoFit/>
                    </wps:bodyPr>
                  </wps:wsp>
                </a:graphicData>
              </a:graphic>
            </wp:anchor>
          </w:drawing>
        </mc:Choice>
        <mc:Fallback>
          <w:pict>
            <v:shape id="文本框 11"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M6pebnP&#10;AAAABQEAAA8AAAAAAAAAAQAgAAAAIgAAAGRycy9kb3ducmV2LnhtbFBLAQIUABQAAAAIAIdO4kCg&#10;aEPEtwEAAFkDAAAOAAAAAAAAAAEAIAAAAB4BAABkcnMvZTJvRG9jLnhtbFBLBQYAAAAABgAGAFkB&#10;AABHBQAAAAA=&#10;">
              <v:fill on="f" focussize="0,0"/>
              <v:stroke on="f"/>
              <v:imagedata o:title=""/>
              <o:lock v:ext="edit" aspectratio="f"/>
              <v:textbox inset="0mm,0mm,0mm,0mm" style="mso-fit-shape-to-text:t;">
                <w:txbxContent>
                  <w:p>
                    <w:pPr>
                      <w:pStyle w:val="15"/>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5"/>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34</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0"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NJWO7QAAAABQEAAA8AAAAAAAAAAQAg&#10;AAAAIgAAAGRycy9kb3ducmV2LnhtbFBLAQIUABQAAAAIAIdO4kA7uVFGFgIAABgEAAAOAAAAAAAA&#10;AAEAIAAAAB8BAABkcnMvZTJvRG9jLnhtbFBLBQYAAAAABgAGAFkBAACnBQAAAAA=&#10;">
              <v:fill on="f" focussize="0,0"/>
              <v:stroke on="f" weight="0.5pt"/>
              <v:imagedata o:title=""/>
              <o:lock v:ext="edit" aspectratio="f"/>
              <v:textbox inset="0mm,0mm,0mm,0mm" style="mso-fit-shape-to-text:t;">
                <w:txbxContent>
                  <w:p>
                    <w:pPr>
                      <w:pStyle w:val="15"/>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34</w:t>
                    </w:r>
                    <w:r>
                      <w:rPr>
                        <w:rFonts w:ascii="Times New Roman" w:hAnsi="Times New Roman" w:cs="Times New Roma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4"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pPr>
                            <w:pStyle w:val="15"/>
                          </w:pPr>
                          <w:r>
                            <w:fldChar w:fldCharType="begin"/>
                          </w:r>
                          <w:r>
                            <w:instrText xml:space="preserve"> PAGE  \* MERGEFORMAT </w:instrText>
                          </w:r>
                          <w:r>
                            <w:fldChar w:fldCharType="separate"/>
                          </w:r>
                          <w:r>
                            <w:t>49</w:t>
                          </w:r>
                          <w:r>
                            <w:fldChar w:fldCharType="end"/>
                          </w:r>
                        </w:p>
                      </w:txbxContent>
                    </wps:txbx>
                    <wps:bodyPr wrap="none" lIns="0" tIns="0" rIns="0" bIns="0">
                      <a:spAutoFit/>
                    </wps:bodyPr>
                  </wps:wsp>
                </a:graphicData>
              </a:graphic>
            </wp:anchor>
          </w:drawing>
        </mc:Choice>
        <mc:Fallback>
          <w:pict>
            <v:shape id="文本框 10"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M6pebnP&#10;AAAABQEAAA8AAAAAAAAAAQAgAAAAIgAAAGRycy9kb3ducmV2LnhtbFBLAQIUABQAAAAIAIdO4kBb&#10;vMqNtwEAAFkDAAAOAAAAAAAAAAEAIAAAAB4BAABkcnMvZTJvRG9jLnhtbFBLBQYAAAAABgAGAFkB&#10;AABHBQAAAAA=&#10;">
              <v:fill on="f" focussize="0,0"/>
              <v:stroke on="f"/>
              <v:imagedata o:title=""/>
              <o:lock v:ext="edit" aspectratio="f"/>
              <v:textbox inset="0mm,0mm,0mm,0mm" style="mso-fit-shape-to-text:t;">
                <w:txbxContent>
                  <w:p>
                    <w:pPr>
                      <w:pStyle w:val="15"/>
                    </w:pPr>
                    <w:r>
                      <w:fldChar w:fldCharType="begin"/>
                    </w:r>
                    <w:r>
                      <w:instrText xml:space="preserve"> PAGE  \* MERGEFORMAT </w:instrText>
                    </w:r>
                    <w:r>
                      <w:fldChar w:fldCharType="separate"/>
                    </w:r>
                    <w:r>
                      <w:t>49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sz w:val="21"/>
        <w:szCs w:val="21"/>
      </w:rPr>
    </w:pPr>
    <w:r>
      <w:rPr>
        <w:rFonts w:hint="eastAsia"/>
        <w:sz w:val="21"/>
        <w:szCs w:val="21"/>
      </w:rPr>
      <w:t>年产40万辆自行车生产线项目</w:t>
    </w:r>
    <w:r>
      <w:rPr>
        <w:rFonts w:hint="eastAsia"/>
        <w:sz w:val="21"/>
        <w:szCs w:val="21"/>
        <w:lang w:eastAsia="zh-CN"/>
      </w:rPr>
      <w:t>（一期）</w:t>
    </w:r>
    <w:r>
      <w:rPr>
        <w:rFonts w:hint="eastAsia"/>
        <w:sz w:val="21"/>
        <w:szCs w:val="21"/>
      </w:rPr>
      <w:t>竣工环境保护验收监测报告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9BD81E2"/>
    <w:multiLevelType w:val="singleLevel"/>
    <w:tmpl w:val="B9BD81E2"/>
    <w:lvl w:ilvl="0" w:tentative="0">
      <w:start w:val="1"/>
      <w:numFmt w:val="decimal"/>
      <w:suff w:val="nothing"/>
      <w:lvlText w:val="（%1）"/>
      <w:lvlJc w:val="left"/>
    </w:lvl>
  </w:abstractNum>
  <w:abstractNum w:abstractNumId="1">
    <w:nsid w:val="D77FB634"/>
    <w:multiLevelType w:val="singleLevel"/>
    <w:tmpl w:val="D77FB634"/>
    <w:lvl w:ilvl="0" w:tentative="0">
      <w:start w:val="1"/>
      <w:numFmt w:val="decimal"/>
      <w:suff w:val="nothing"/>
      <w:lvlText w:val="（%1）"/>
      <w:lvlJc w:val="left"/>
      <w:pPr>
        <w:ind w:left="481" w:firstLine="0"/>
      </w:pPr>
    </w:lvl>
  </w:abstractNum>
  <w:abstractNum w:abstractNumId="2">
    <w:nsid w:val="E6F4A148"/>
    <w:multiLevelType w:val="singleLevel"/>
    <w:tmpl w:val="E6F4A148"/>
    <w:lvl w:ilvl="0" w:tentative="0">
      <w:start w:val="1"/>
      <w:numFmt w:val="chineseCounting"/>
      <w:suff w:val="nothing"/>
      <w:lvlText w:val="%1、"/>
      <w:lvlJc w:val="left"/>
      <w:rPr>
        <w:rFonts w:hint="eastAsia"/>
      </w:rPr>
    </w:lvl>
  </w:abstractNum>
  <w:abstractNum w:abstractNumId="3">
    <w:nsid w:val="0B9F1B1A"/>
    <w:multiLevelType w:val="singleLevel"/>
    <w:tmpl w:val="0B9F1B1A"/>
    <w:lvl w:ilvl="0" w:tentative="0">
      <w:start w:val="1"/>
      <w:numFmt w:val="decimal"/>
      <w:suff w:val="nothing"/>
      <w:lvlText w:val="%1、"/>
      <w:lvlJc w:val="left"/>
    </w:lvl>
  </w:abstractNum>
  <w:abstractNum w:abstractNumId="4">
    <w:nsid w:val="30EE0736"/>
    <w:multiLevelType w:val="singleLevel"/>
    <w:tmpl w:val="30EE0736"/>
    <w:lvl w:ilvl="0" w:tentative="0">
      <w:start w:val="1"/>
      <w:numFmt w:val="decimal"/>
      <w:lvlText w:val="%1."/>
      <w:lvlJc w:val="left"/>
      <w:pPr>
        <w:tabs>
          <w:tab w:val="left" w:pos="312"/>
        </w:tabs>
      </w:pPr>
    </w:lvl>
  </w:abstractNum>
  <w:abstractNum w:abstractNumId="5">
    <w:nsid w:val="5988B0AB"/>
    <w:multiLevelType w:val="singleLevel"/>
    <w:tmpl w:val="5988B0AB"/>
    <w:lvl w:ilvl="0" w:tentative="0">
      <w:start w:val="11"/>
      <w:numFmt w:val="decimal"/>
      <w:lvlText w:val="%1."/>
      <w:lvlJc w:val="left"/>
      <w:pPr>
        <w:tabs>
          <w:tab w:val="left" w:pos="312"/>
        </w:tabs>
      </w:pPr>
    </w:lvl>
  </w:abstractNum>
  <w:abstractNum w:abstractNumId="6">
    <w:nsid w:val="74633109"/>
    <w:multiLevelType w:val="singleLevel"/>
    <w:tmpl w:val="74633109"/>
    <w:lvl w:ilvl="0" w:tentative="0">
      <w:start w:val="1"/>
      <w:numFmt w:val="decimal"/>
      <w:suff w:val="nothing"/>
      <w:lvlText w:val="%1、"/>
      <w:lvlJc w:val="left"/>
    </w:lvl>
  </w:abstractNum>
  <w:num w:numId="1">
    <w:abstractNumId w:val="4"/>
  </w:num>
  <w:num w:numId="2">
    <w:abstractNumId w:val="2"/>
  </w:num>
  <w:num w:numId="3">
    <w:abstractNumId w:val="6"/>
  </w:num>
  <w:num w:numId="4">
    <w:abstractNumId w:val="3"/>
  </w:num>
  <w:num w:numId="5">
    <w:abstractNumId w:val="5"/>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67845"/>
    <w:rsid w:val="00067F3C"/>
    <w:rsid w:val="00072E0E"/>
    <w:rsid w:val="000D777F"/>
    <w:rsid w:val="00172A27"/>
    <w:rsid w:val="001C0344"/>
    <w:rsid w:val="0022388A"/>
    <w:rsid w:val="00230AAF"/>
    <w:rsid w:val="00267B43"/>
    <w:rsid w:val="002E1537"/>
    <w:rsid w:val="003050E9"/>
    <w:rsid w:val="00307236"/>
    <w:rsid w:val="00346909"/>
    <w:rsid w:val="00351DB5"/>
    <w:rsid w:val="00365C1A"/>
    <w:rsid w:val="003C2B01"/>
    <w:rsid w:val="00447238"/>
    <w:rsid w:val="004A0BA8"/>
    <w:rsid w:val="0059196F"/>
    <w:rsid w:val="005B7E80"/>
    <w:rsid w:val="005F5581"/>
    <w:rsid w:val="006152BB"/>
    <w:rsid w:val="0069615D"/>
    <w:rsid w:val="007B1363"/>
    <w:rsid w:val="00815530"/>
    <w:rsid w:val="00841E96"/>
    <w:rsid w:val="008853F3"/>
    <w:rsid w:val="008A42B4"/>
    <w:rsid w:val="008C52B7"/>
    <w:rsid w:val="00903728"/>
    <w:rsid w:val="00A07A2E"/>
    <w:rsid w:val="00A32FA3"/>
    <w:rsid w:val="00A74507"/>
    <w:rsid w:val="00AA629C"/>
    <w:rsid w:val="00AC4C3B"/>
    <w:rsid w:val="00AE0C28"/>
    <w:rsid w:val="00AE5A48"/>
    <w:rsid w:val="00B54F12"/>
    <w:rsid w:val="00BA0EB6"/>
    <w:rsid w:val="00BA6E79"/>
    <w:rsid w:val="00C206E2"/>
    <w:rsid w:val="00D36BC4"/>
    <w:rsid w:val="00D85B75"/>
    <w:rsid w:val="00DA0AD7"/>
    <w:rsid w:val="00E26B6B"/>
    <w:rsid w:val="00ED71B2"/>
    <w:rsid w:val="00EE44BE"/>
    <w:rsid w:val="00F221D2"/>
    <w:rsid w:val="01342AB6"/>
    <w:rsid w:val="01AA46DD"/>
    <w:rsid w:val="01D748E2"/>
    <w:rsid w:val="01EE3347"/>
    <w:rsid w:val="038D6B10"/>
    <w:rsid w:val="040D153B"/>
    <w:rsid w:val="05516910"/>
    <w:rsid w:val="055F7050"/>
    <w:rsid w:val="056E2C36"/>
    <w:rsid w:val="05C80D7E"/>
    <w:rsid w:val="06681058"/>
    <w:rsid w:val="06AB67F1"/>
    <w:rsid w:val="06B31575"/>
    <w:rsid w:val="07144146"/>
    <w:rsid w:val="07950E68"/>
    <w:rsid w:val="07A81F5F"/>
    <w:rsid w:val="082F77D6"/>
    <w:rsid w:val="087E1E3F"/>
    <w:rsid w:val="08A33C5B"/>
    <w:rsid w:val="08C3322C"/>
    <w:rsid w:val="097238CE"/>
    <w:rsid w:val="0A223EA6"/>
    <w:rsid w:val="0A5B41E9"/>
    <w:rsid w:val="0A713746"/>
    <w:rsid w:val="0A98270E"/>
    <w:rsid w:val="0B803ADE"/>
    <w:rsid w:val="0BD709BC"/>
    <w:rsid w:val="0C156595"/>
    <w:rsid w:val="0D0706A3"/>
    <w:rsid w:val="0D9E42C6"/>
    <w:rsid w:val="0E704E3A"/>
    <w:rsid w:val="0E76199E"/>
    <w:rsid w:val="0E873698"/>
    <w:rsid w:val="0F282B4C"/>
    <w:rsid w:val="0F2E671A"/>
    <w:rsid w:val="0F64655A"/>
    <w:rsid w:val="0F9E2977"/>
    <w:rsid w:val="0FED34FB"/>
    <w:rsid w:val="10446F33"/>
    <w:rsid w:val="11FE3DE5"/>
    <w:rsid w:val="12103DD2"/>
    <w:rsid w:val="12442A82"/>
    <w:rsid w:val="12AB328E"/>
    <w:rsid w:val="12AC2DFD"/>
    <w:rsid w:val="130B0FA6"/>
    <w:rsid w:val="13636AFF"/>
    <w:rsid w:val="13F339EF"/>
    <w:rsid w:val="147433D1"/>
    <w:rsid w:val="150315F2"/>
    <w:rsid w:val="15184FBF"/>
    <w:rsid w:val="16B21FAE"/>
    <w:rsid w:val="16F17BC1"/>
    <w:rsid w:val="171A7EC5"/>
    <w:rsid w:val="174F6027"/>
    <w:rsid w:val="176C635A"/>
    <w:rsid w:val="17B52256"/>
    <w:rsid w:val="181B0947"/>
    <w:rsid w:val="18D76880"/>
    <w:rsid w:val="18EB4E67"/>
    <w:rsid w:val="192B0045"/>
    <w:rsid w:val="19517A6C"/>
    <w:rsid w:val="19FF6D5F"/>
    <w:rsid w:val="1A7505FA"/>
    <w:rsid w:val="1AA168EE"/>
    <w:rsid w:val="1B4A7039"/>
    <w:rsid w:val="1B8F0552"/>
    <w:rsid w:val="1BF37D35"/>
    <w:rsid w:val="1CDF74BF"/>
    <w:rsid w:val="1DDC6A24"/>
    <w:rsid w:val="1E7D0E24"/>
    <w:rsid w:val="1EFC63F6"/>
    <w:rsid w:val="1F2C1BE0"/>
    <w:rsid w:val="1F6F6D26"/>
    <w:rsid w:val="200B27C3"/>
    <w:rsid w:val="202F292C"/>
    <w:rsid w:val="20CF17B7"/>
    <w:rsid w:val="20E202AA"/>
    <w:rsid w:val="20FE02E2"/>
    <w:rsid w:val="216C28A9"/>
    <w:rsid w:val="22CB2076"/>
    <w:rsid w:val="230312B3"/>
    <w:rsid w:val="230622C8"/>
    <w:rsid w:val="23157720"/>
    <w:rsid w:val="23201D94"/>
    <w:rsid w:val="23DB2951"/>
    <w:rsid w:val="24092140"/>
    <w:rsid w:val="24833F85"/>
    <w:rsid w:val="24F952AB"/>
    <w:rsid w:val="24FE36E4"/>
    <w:rsid w:val="25046AF9"/>
    <w:rsid w:val="25170ED3"/>
    <w:rsid w:val="254A2972"/>
    <w:rsid w:val="25631E9F"/>
    <w:rsid w:val="25871CB2"/>
    <w:rsid w:val="25BB729E"/>
    <w:rsid w:val="25C30DE5"/>
    <w:rsid w:val="26ED7DC7"/>
    <w:rsid w:val="27BB02B7"/>
    <w:rsid w:val="2828437B"/>
    <w:rsid w:val="294A7C89"/>
    <w:rsid w:val="29BB3F67"/>
    <w:rsid w:val="2A2420F4"/>
    <w:rsid w:val="2A6A0319"/>
    <w:rsid w:val="2AB76DB2"/>
    <w:rsid w:val="2AD0228F"/>
    <w:rsid w:val="2B504F78"/>
    <w:rsid w:val="2B63798E"/>
    <w:rsid w:val="2B8C07EA"/>
    <w:rsid w:val="2BF215D8"/>
    <w:rsid w:val="2C2C2A29"/>
    <w:rsid w:val="2C8718AD"/>
    <w:rsid w:val="2CE84F1E"/>
    <w:rsid w:val="2D03471A"/>
    <w:rsid w:val="2D662F81"/>
    <w:rsid w:val="2E75481D"/>
    <w:rsid w:val="2EA53603"/>
    <w:rsid w:val="2EAF45D6"/>
    <w:rsid w:val="2EE60662"/>
    <w:rsid w:val="2F7A1F3F"/>
    <w:rsid w:val="2FE97DC8"/>
    <w:rsid w:val="302D7CA2"/>
    <w:rsid w:val="30EB2609"/>
    <w:rsid w:val="30FD029D"/>
    <w:rsid w:val="31066333"/>
    <w:rsid w:val="312414F7"/>
    <w:rsid w:val="31704867"/>
    <w:rsid w:val="31915633"/>
    <w:rsid w:val="31BB21B0"/>
    <w:rsid w:val="31F12428"/>
    <w:rsid w:val="320101B8"/>
    <w:rsid w:val="32034AA0"/>
    <w:rsid w:val="320A1DCC"/>
    <w:rsid w:val="32152468"/>
    <w:rsid w:val="32703F58"/>
    <w:rsid w:val="32F712F5"/>
    <w:rsid w:val="33D328B4"/>
    <w:rsid w:val="34152C25"/>
    <w:rsid w:val="343C7224"/>
    <w:rsid w:val="34914D94"/>
    <w:rsid w:val="34CB79E0"/>
    <w:rsid w:val="369063ED"/>
    <w:rsid w:val="37131B3D"/>
    <w:rsid w:val="37150637"/>
    <w:rsid w:val="374E1C74"/>
    <w:rsid w:val="37F72DD1"/>
    <w:rsid w:val="381C19F8"/>
    <w:rsid w:val="38555CDB"/>
    <w:rsid w:val="38860541"/>
    <w:rsid w:val="38970DFD"/>
    <w:rsid w:val="38D32C93"/>
    <w:rsid w:val="39CB3BFA"/>
    <w:rsid w:val="3A8448AA"/>
    <w:rsid w:val="3BCA1ED3"/>
    <w:rsid w:val="3BE71C4E"/>
    <w:rsid w:val="3C5C7077"/>
    <w:rsid w:val="3D50770C"/>
    <w:rsid w:val="3D5926FC"/>
    <w:rsid w:val="3DF45B63"/>
    <w:rsid w:val="3E037982"/>
    <w:rsid w:val="3E821502"/>
    <w:rsid w:val="40B6245F"/>
    <w:rsid w:val="411018BC"/>
    <w:rsid w:val="416D6ECA"/>
    <w:rsid w:val="41A536DB"/>
    <w:rsid w:val="41F86B75"/>
    <w:rsid w:val="426A6D8B"/>
    <w:rsid w:val="42F2521C"/>
    <w:rsid w:val="43203B74"/>
    <w:rsid w:val="4334225D"/>
    <w:rsid w:val="43425DFF"/>
    <w:rsid w:val="437F273F"/>
    <w:rsid w:val="43CB39CE"/>
    <w:rsid w:val="43E55EC8"/>
    <w:rsid w:val="448D2289"/>
    <w:rsid w:val="45126093"/>
    <w:rsid w:val="454F2674"/>
    <w:rsid w:val="465428B8"/>
    <w:rsid w:val="468D0D36"/>
    <w:rsid w:val="46BF4726"/>
    <w:rsid w:val="48407C0C"/>
    <w:rsid w:val="484627F4"/>
    <w:rsid w:val="48835979"/>
    <w:rsid w:val="495A39E8"/>
    <w:rsid w:val="49CF5AF0"/>
    <w:rsid w:val="49E466BC"/>
    <w:rsid w:val="49FE022D"/>
    <w:rsid w:val="4A6D4B82"/>
    <w:rsid w:val="4AF24698"/>
    <w:rsid w:val="4B4702C7"/>
    <w:rsid w:val="4BAC71E4"/>
    <w:rsid w:val="4C2E0ABB"/>
    <w:rsid w:val="4CBB454B"/>
    <w:rsid w:val="4CEE37BF"/>
    <w:rsid w:val="4D904F53"/>
    <w:rsid w:val="4DBB7168"/>
    <w:rsid w:val="4E3A7E65"/>
    <w:rsid w:val="4F6B60E8"/>
    <w:rsid w:val="4FAF04F1"/>
    <w:rsid w:val="509431B0"/>
    <w:rsid w:val="50DC116A"/>
    <w:rsid w:val="520C2A9D"/>
    <w:rsid w:val="52B473BA"/>
    <w:rsid w:val="539509DF"/>
    <w:rsid w:val="557D3BC7"/>
    <w:rsid w:val="564E6AE4"/>
    <w:rsid w:val="574D4B50"/>
    <w:rsid w:val="58124CEE"/>
    <w:rsid w:val="58E371A8"/>
    <w:rsid w:val="59F25C6F"/>
    <w:rsid w:val="59FB7E63"/>
    <w:rsid w:val="5A9B4D12"/>
    <w:rsid w:val="5ABD26B3"/>
    <w:rsid w:val="5B1C191E"/>
    <w:rsid w:val="5B8C24E4"/>
    <w:rsid w:val="5B9D4554"/>
    <w:rsid w:val="5C0531A2"/>
    <w:rsid w:val="5C4050FD"/>
    <w:rsid w:val="5C64082B"/>
    <w:rsid w:val="5D0B1BDA"/>
    <w:rsid w:val="5D7C3443"/>
    <w:rsid w:val="5DBE0C40"/>
    <w:rsid w:val="5DD64DC9"/>
    <w:rsid w:val="5E031B89"/>
    <w:rsid w:val="5FA16CE1"/>
    <w:rsid w:val="5FA95C9E"/>
    <w:rsid w:val="60926D13"/>
    <w:rsid w:val="60E72FAC"/>
    <w:rsid w:val="6153194C"/>
    <w:rsid w:val="61967D49"/>
    <w:rsid w:val="61C13741"/>
    <w:rsid w:val="629A6394"/>
    <w:rsid w:val="62CC05F2"/>
    <w:rsid w:val="62CF68EF"/>
    <w:rsid w:val="63532146"/>
    <w:rsid w:val="644B6003"/>
    <w:rsid w:val="64672E3F"/>
    <w:rsid w:val="64A868B9"/>
    <w:rsid w:val="64A94F08"/>
    <w:rsid w:val="64AD2B32"/>
    <w:rsid w:val="64D41EC5"/>
    <w:rsid w:val="654A3494"/>
    <w:rsid w:val="65D1760D"/>
    <w:rsid w:val="65F5084D"/>
    <w:rsid w:val="66AD24B2"/>
    <w:rsid w:val="66EE27F8"/>
    <w:rsid w:val="670C7516"/>
    <w:rsid w:val="672C76B7"/>
    <w:rsid w:val="680414BF"/>
    <w:rsid w:val="691E39CE"/>
    <w:rsid w:val="69F67F06"/>
    <w:rsid w:val="6A13302C"/>
    <w:rsid w:val="6A9C4117"/>
    <w:rsid w:val="6B226B9D"/>
    <w:rsid w:val="6B405423"/>
    <w:rsid w:val="6B443A6D"/>
    <w:rsid w:val="6B45144B"/>
    <w:rsid w:val="6B7B51E0"/>
    <w:rsid w:val="6BA61122"/>
    <w:rsid w:val="6BED05AF"/>
    <w:rsid w:val="6D2625DB"/>
    <w:rsid w:val="6D535020"/>
    <w:rsid w:val="6D6F700D"/>
    <w:rsid w:val="6DFF1DAD"/>
    <w:rsid w:val="6E6B0C7D"/>
    <w:rsid w:val="703A6485"/>
    <w:rsid w:val="707C4458"/>
    <w:rsid w:val="70936B05"/>
    <w:rsid w:val="70D1355F"/>
    <w:rsid w:val="70E56E81"/>
    <w:rsid w:val="71362F6D"/>
    <w:rsid w:val="71617A42"/>
    <w:rsid w:val="71A74377"/>
    <w:rsid w:val="72982A83"/>
    <w:rsid w:val="72A23A17"/>
    <w:rsid w:val="72F10000"/>
    <w:rsid w:val="73087288"/>
    <w:rsid w:val="73262F97"/>
    <w:rsid w:val="736714B7"/>
    <w:rsid w:val="74642642"/>
    <w:rsid w:val="74AD18AA"/>
    <w:rsid w:val="751439ED"/>
    <w:rsid w:val="759F4956"/>
    <w:rsid w:val="76DD786A"/>
    <w:rsid w:val="77D749E4"/>
    <w:rsid w:val="78604A79"/>
    <w:rsid w:val="78D112D5"/>
    <w:rsid w:val="78FB5D09"/>
    <w:rsid w:val="790B7FE8"/>
    <w:rsid w:val="7AC03350"/>
    <w:rsid w:val="7ACB6589"/>
    <w:rsid w:val="7C3D634A"/>
    <w:rsid w:val="7C805F61"/>
    <w:rsid w:val="7CE372B1"/>
    <w:rsid w:val="7CFE0322"/>
    <w:rsid w:val="7D3A4FD9"/>
    <w:rsid w:val="7E172628"/>
    <w:rsid w:val="7E6B1A66"/>
    <w:rsid w:val="7EE700EF"/>
    <w:rsid w:val="7F35470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outlineLvl w:val="0"/>
    </w:pPr>
    <w:rPr>
      <w:rFonts w:ascii="Times New Roman" w:hAnsi="Times New Roman" w:eastAsia="宋体"/>
      <w:b/>
      <w:kern w:val="44"/>
      <w:szCs w:val="20"/>
    </w:rPr>
  </w:style>
  <w:style w:type="paragraph" w:styleId="4">
    <w:name w:val="heading 2"/>
    <w:basedOn w:val="1"/>
    <w:next w:val="1"/>
    <w:qFormat/>
    <w:uiPriority w:val="9"/>
    <w:pPr>
      <w:keepNext/>
      <w:keepLines/>
      <w:spacing w:before="20" w:after="20"/>
      <w:outlineLvl w:val="1"/>
    </w:pPr>
    <w:rPr>
      <w:rFonts w:ascii="Arial" w:hAnsi="Arial" w:eastAsia="宋体"/>
      <w:b/>
      <w:szCs w:val="30"/>
    </w:rPr>
  </w:style>
  <w:style w:type="paragraph" w:styleId="2">
    <w:name w:val="heading 3"/>
    <w:basedOn w:val="1"/>
    <w:next w:val="1"/>
    <w:qFormat/>
    <w:uiPriority w:val="9"/>
    <w:pPr>
      <w:keepNext/>
      <w:keepLines/>
      <w:spacing w:before="20" w:after="20"/>
      <w:outlineLvl w:val="2"/>
    </w:pPr>
    <w:rPr>
      <w:rFonts w:ascii="Times New Roman" w:hAnsi="Times New Roman" w:eastAsia="宋体"/>
      <w:b/>
    </w:rPr>
  </w:style>
  <w:style w:type="paragraph" w:styleId="5">
    <w:name w:val="heading 9"/>
    <w:basedOn w:val="1"/>
    <w:next w:val="1"/>
    <w:semiHidden/>
    <w:unhideWhenUsed/>
    <w:qFormat/>
    <w:uiPriority w:val="0"/>
    <w:pPr>
      <w:keepNext/>
      <w:keepLines/>
      <w:spacing w:line="317" w:lineRule="auto"/>
      <w:outlineLvl w:val="8"/>
    </w:pPr>
    <w:rPr>
      <w:rFonts w:ascii="Arial" w:hAnsi="Arial" w:eastAsia="黑体"/>
    </w:rPr>
  </w:style>
  <w:style w:type="character" w:default="1" w:styleId="25">
    <w:name w:val="Default Paragraph Font"/>
    <w:semiHidden/>
    <w:unhideWhenUsed/>
    <w:uiPriority w:val="1"/>
  </w:style>
  <w:style w:type="table" w:default="1" w:styleId="23">
    <w:name w:val="Normal Table"/>
    <w:semiHidden/>
    <w:unhideWhenUsed/>
    <w:qFormat/>
    <w:uiPriority w:val="99"/>
    <w:tblPr>
      <w:tblLayout w:type="fixed"/>
      <w:tblCellMar>
        <w:top w:w="0" w:type="dxa"/>
        <w:left w:w="108" w:type="dxa"/>
        <w:bottom w:w="0" w:type="dxa"/>
        <w:right w:w="108" w:type="dxa"/>
      </w:tblCellMar>
    </w:tblPr>
  </w:style>
  <w:style w:type="paragraph" w:styleId="6">
    <w:name w:val="Normal Indent"/>
    <w:basedOn w:val="1"/>
    <w:qFormat/>
    <w:uiPriority w:val="0"/>
    <w:pPr>
      <w:ind w:firstLine="420"/>
    </w:pPr>
    <w:rPr>
      <w:rFonts w:ascii="Times New Roman" w:hAnsi="Times New Roman"/>
      <w:szCs w:val="21"/>
    </w:rPr>
  </w:style>
  <w:style w:type="paragraph" w:styleId="7">
    <w:name w:val="caption"/>
    <w:basedOn w:val="1"/>
    <w:next w:val="1"/>
    <w:unhideWhenUsed/>
    <w:qFormat/>
    <w:uiPriority w:val="0"/>
    <w:pPr>
      <w:spacing w:line="300" w:lineRule="exact"/>
      <w:jc w:val="center"/>
    </w:pPr>
    <w:rPr>
      <w:rFonts w:ascii="Times New Roman" w:hAnsi="Times New Roman" w:eastAsia="黑体"/>
      <w:b/>
    </w:rPr>
  </w:style>
  <w:style w:type="paragraph" w:styleId="8">
    <w:name w:val="annotation text"/>
    <w:basedOn w:val="1"/>
    <w:qFormat/>
    <w:uiPriority w:val="0"/>
    <w:pPr>
      <w:jc w:val="left"/>
    </w:pPr>
  </w:style>
  <w:style w:type="paragraph" w:styleId="9">
    <w:name w:val="Body Text"/>
    <w:basedOn w:val="1"/>
    <w:unhideWhenUsed/>
    <w:qFormat/>
    <w:uiPriority w:val="0"/>
    <w:pPr>
      <w:ind w:left="111"/>
    </w:pPr>
    <w:rPr>
      <w:rFonts w:ascii="仿宋" w:hAnsi="仿宋" w:eastAsia="仿宋"/>
      <w:sz w:val="28"/>
      <w:szCs w:val="28"/>
    </w:rPr>
  </w:style>
  <w:style w:type="paragraph" w:styleId="10">
    <w:name w:val="Body Text Indent"/>
    <w:basedOn w:val="1"/>
    <w:unhideWhenUsed/>
    <w:qFormat/>
    <w:uiPriority w:val="0"/>
    <w:pPr>
      <w:spacing w:line="360" w:lineRule="auto"/>
      <w:ind w:firstLine="480"/>
    </w:pPr>
    <w:rPr>
      <w:sz w:val="24"/>
    </w:rPr>
  </w:style>
  <w:style w:type="paragraph" w:styleId="11">
    <w:name w:val="List 2"/>
    <w:basedOn w:val="1"/>
    <w:qFormat/>
    <w:uiPriority w:val="0"/>
    <w:pPr>
      <w:ind w:left="840" w:hanging="420"/>
    </w:pPr>
  </w:style>
  <w:style w:type="paragraph" w:styleId="12">
    <w:name w:val="toc 3"/>
    <w:basedOn w:val="1"/>
    <w:next w:val="1"/>
    <w:qFormat/>
    <w:uiPriority w:val="0"/>
    <w:pPr>
      <w:ind w:left="840" w:leftChars="400"/>
    </w:pPr>
  </w:style>
  <w:style w:type="paragraph" w:styleId="13">
    <w:name w:val="Date"/>
    <w:basedOn w:val="1"/>
    <w:next w:val="1"/>
    <w:qFormat/>
    <w:uiPriority w:val="0"/>
    <w:rPr>
      <w:sz w:val="24"/>
    </w:rPr>
  </w:style>
  <w:style w:type="paragraph" w:styleId="14">
    <w:name w:val="Balloon Text"/>
    <w:basedOn w:val="1"/>
    <w:link w:val="34"/>
    <w:qFormat/>
    <w:uiPriority w:val="0"/>
    <w:rPr>
      <w:sz w:val="18"/>
      <w:szCs w:val="18"/>
    </w:rPr>
  </w:style>
  <w:style w:type="paragraph" w:styleId="15">
    <w:name w:val="footer"/>
    <w:basedOn w:val="1"/>
    <w:unhideWhenUsed/>
    <w:qFormat/>
    <w:uiPriority w:val="99"/>
    <w:pPr>
      <w:tabs>
        <w:tab w:val="center" w:pos="4153"/>
        <w:tab w:val="right" w:pos="8306"/>
      </w:tabs>
      <w:snapToGrid w:val="0"/>
      <w:jc w:val="left"/>
    </w:pPr>
    <w:rPr>
      <w:sz w:val="18"/>
      <w:szCs w:val="18"/>
    </w:rPr>
  </w:style>
  <w:style w:type="paragraph" w:styleId="16">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0"/>
  </w:style>
  <w:style w:type="paragraph" w:styleId="18">
    <w:name w:val="List"/>
    <w:basedOn w:val="1"/>
    <w:qFormat/>
    <w:uiPriority w:val="0"/>
    <w:pPr>
      <w:ind w:left="420" w:hanging="420"/>
    </w:pPr>
    <w:rPr>
      <w:sz w:val="24"/>
    </w:rPr>
  </w:style>
  <w:style w:type="paragraph" w:styleId="19">
    <w:name w:val="table of figures"/>
    <w:basedOn w:val="1"/>
    <w:next w:val="1"/>
    <w:uiPriority w:val="0"/>
    <w:pPr>
      <w:ind w:leftChars="200" w:hanging="200" w:hangingChars="200"/>
    </w:pPr>
  </w:style>
  <w:style w:type="paragraph" w:styleId="20">
    <w:name w:val="toc 2"/>
    <w:basedOn w:val="1"/>
    <w:next w:val="1"/>
    <w:qFormat/>
    <w:uiPriority w:val="0"/>
    <w:pPr>
      <w:ind w:left="420" w:leftChars="200"/>
    </w:pPr>
  </w:style>
  <w:style w:type="paragraph" w:styleId="21">
    <w:name w:val="Normal (Web)"/>
    <w:basedOn w:val="1"/>
    <w:qFormat/>
    <w:uiPriority w:val="0"/>
    <w:pPr>
      <w:widowControl/>
      <w:spacing w:beforeAutospacing="1" w:afterAutospacing="1"/>
      <w:jc w:val="left"/>
    </w:pPr>
    <w:rPr>
      <w:rFonts w:ascii="宋体" w:hAnsi="宋体" w:cs="宋体"/>
      <w:kern w:val="0"/>
      <w:sz w:val="24"/>
    </w:rPr>
  </w:style>
  <w:style w:type="paragraph" w:styleId="22">
    <w:name w:val="Body Text First Indent 2"/>
    <w:basedOn w:val="10"/>
    <w:unhideWhenUsed/>
    <w:qFormat/>
    <w:uiPriority w:val="0"/>
    <w:pPr>
      <w:spacing w:after="120" w:line="240" w:lineRule="auto"/>
      <w:ind w:left="420" w:leftChars="200" w:firstLine="420" w:firstLineChars="200"/>
    </w:p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6">
    <w:name w:val="page number"/>
    <w:basedOn w:val="25"/>
    <w:qFormat/>
    <w:uiPriority w:val="0"/>
  </w:style>
  <w:style w:type="paragraph" w:customStyle="1" w:styleId="27">
    <w:name w:val="表格内容"/>
    <w:basedOn w:val="1"/>
    <w:qFormat/>
    <w:uiPriority w:val="0"/>
    <w:pPr>
      <w:overflowPunct w:val="0"/>
      <w:adjustRightInd w:val="0"/>
      <w:spacing w:before="40" w:after="60" w:line="200" w:lineRule="atLeast"/>
      <w:textAlignment w:val="baseline"/>
    </w:pPr>
    <w:rPr>
      <w:rFonts w:ascii="Arial" w:hAnsi="Arial" w:eastAsia="仿宋_GB2312"/>
      <w:kern w:val="0"/>
      <w:szCs w:val="20"/>
    </w:rPr>
  </w:style>
  <w:style w:type="paragraph" w:customStyle="1" w:styleId="28">
    <w:name w:val="表格文字"/>
    <w:basedOn w:val="1"/>
    <w:qFormat/>
    <w:uiPriority w:val="0"/>
    <w:pPr>
      <w:jc w:val="center"/>
    </w:pPr>
    <w:rPr>
      <w:rFonts w:ascii="仿宋_GB2312" w:hAnsi="Arial Black" w:eastAsia="仿宋_GB2312"/>
      <w:kern w:val="44"/>
      <w:sz w:val="24"/>
      <w:szCs w:val="20"/>
    </w:rPr>
  </w:style>
  <w:style w:type="paragraph" w:customStyle="1" w:styleId="29">
    <w:name w:val="Table Paragraph"/>
    <w:basedOn w:val="1"/>
    <w:qFormat/>
    <w:uiPriority w:val="1"/>
    <w:pPr>
      <w:jc w:val="center"/>
    </w:pPr>
    <w:rPr>
      <w:rFonts w:ascii="Times New Roman" w:hAnsi="Times New Roman" w:eastAsia="Times New Roman" w:cs="Times New Roman"/>
      <w:lang w:val="zh-CN" w:bidi="zh-CN"/>
    </w:rPr>
  </w:style>
  <w:style w:type="paragraph" w:styleId="30">
    <w:name w:val="List Paragraph"/>
    <w:basedOn w:val="1"/>
    <w:qFormat/>
    <w:uiPriority w:val="1"/>
    <w:pPr>
      <w:ind w:left="1037" w:hanging="600"/>
    </w:pPr>
    <w:rPr>
      <w:rFonts w:ascii="宋体" w:hAnsi="宋体" w:eastAsia="宋体" w:cs="宋体"/>
      <w:lang w:val="zh-CN" w:bidi="zh-CN"/>
    </w:rPr>
  </w:style>
  <w:style w:type="paragraph" w:customStyle="1" w:styleId="31">
    <w:name w:val="WPSOffice手动目录 1"/>
    <w:qFormat/>
    <w:uiPriority w:val="0"/>
    <w:rPr>
      <w:rFonts w:asciiTheme="minorHAnsi" w:hAnsiTheme="minorHAnsi" w:eastAsiaTheme="minorEastAsia" w:cstheme="minorBidi"/>
      <w:lang w:val="en-US" w:eastAsia="zh-CN" w:bidi="ar-SA"/>
    </w:rPr>
  </w:style>
  <w:style w:type="paragraph" w:customStyle="1" w:styleId="32">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33">
    <w:name w:val="WPSOffice手动目录 3"/>
    <w:qFormat/>
    <w:uiPriority w:val="0"/>
    <w:pPr>
      <w:ind w:left="400" w:leftChars="400"/>
    </w:pPr>
    <w:rPr>
      <w:rFonts w:asciiTheme="minorHAnsi" w:hAnsiTheme="minorHAnsi" w:eastAsiaTheme="minorEastAsia" w:cstheme="minorBidi"/>
      <w:lang w:val="en-US" w:eastAsia="zh-CN" w:bidi="ar-SA"/>
    </w:rPr>
  </w:style>
  <w:style w:type="character" w:customStyle="1" w:styleId="34">
    <w:name w:val="批注框文本 Char"/>
    <w:basedOn w:val="25"/>
    <w:link w:val="14"/>
    <w:qFormat/>
    <w:uiPriority w:val="0"/>
    <w:rPr>
      <w:rFonts w:asciiTheme="minorHAnsi" w:hAnsiTheme="minorHAnsi" w:eastAsiaTheme="minorEastAsia" w:cstheme="minorBidi"/>
      <w:kern w:val="2"/>
      <w:sz w:val="18"/>
      <w:szCs w:val="18"/>
    </w:rPr>
  </w:style>
  <w:style w:type="paragraph" w:customStyle="1" w:styleId="35">
    <w:name w:val="表格"/>
    <w:basedOn w:val="4"/>
    <w:qFormat/>
    <w:uiPriority w:val="0"/>
    <w:pPr>
      <w:keepNext w:val="0"/>
      <w:keepLines w:val="0"/>
      <w:adjustRightInd w:val="0"/>
      <w:snapToGrid w:val="0"/>
      <w:jc w:val="center"/>
      <w:outlineLvl w:val="9"/>
    </w:pPr>
    <w:rPr>
      <w:rFonts w:ascii="仿宋_GB2312"/>
      <w:b w:val="0"/>
      <w:color w:val="000000"/>
      <w:sz w:val="20"/>
      <w:szCs w:val="20"/>
    </w:rPr>
  </w:style>
  <w:style w:type="paragraph" w:customStyle="1" w:styleId="36">
    <w:name w:val="p0"/>
    <w:basedOn w:val="1"/>
    <w:qFormat/>
    <w:uiPriority w:val="0"/>
    <w:pPr>
      <w:widowControl/>
      <w:snapToGrid w:val="0"/>
    </w:pPr>
    <w:rPr>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wmf"/><Relationship Id="rId16" Type="http://schemas.openxmlformats.org/officeDocument/2006/relationships/oleObject" Target="embeddings/oleObject1.bin"/><Relationship Id="rId15" Type="http://schemas.openxmlformats.org/officeDocument/2006/relationships/image" Target="media/image7.pn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E12F23-3D16-4965-A087-7F3FA6E5BFA2}">
  <ds:schemaRefs/>
</ds:datastoreItem>
</file>

<file path=docProps/app.xml><?xml version="1.0" encoding="utf-8"?>
<Properties xmlns="http://schemas.openxmlformats.org/officeDocument/2006/extended-properties" xmlns:vt="http://schemas.openxmlformats.org/officeDocument/2006/docPropsVTypes">
  <Template>Normal</Template>
  <Company>PC</Company>
  <Pages>51</Pages>
  <Words>5124</Words>
  <Characters>29207</Characters>
  <Lines>243</Lines>
  <Paragraphs>68</Paragraphs>
  <TotalTime>32</TotalTime>
  <ScaleCrop>false</ScaleCrop>
  <LinksUpToDate>false</LinksUpToDate>
  <CharactersWithSpaces>34263</CharactersWithSpaces>
  <Application>WPS Office_11.1.0.8894_F1E327BC-269C-435d-A152-05C5408002CA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2019-05-16T02:14:00Z</dcterms:created>
  <dc:creator>阳光与盐</dc:creator>
  <cp:lastModifiedBy>DELL</cp:lastModifiedBy>
  <cp:lastPrinted>2019-08-14T01:37:00Z</cp:lastPrinted>
  <dcterms:modified xsi:type="dcterms:W3CDTF">2019-08-20T01:34:30Z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2052-11.1.0.8894</vt:lpwstr>
  </property>
</Properties>
</file>